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rPr>
          <w:rFonts w:hint="eastAsia" w:eastAsia="黑体"/>
        </w:rPr>
      </w:pPr>
      <w:r>
        <w:rPr>
          <w:rFonts w:hint="eastAsia" w:eastAsia="华文行楷"/>
          <w:spacing w:val="-20"/>
          <w:w w:val="90"/>
          <w:sz w:val="28"/>
          <w:szCs w:val="28"/>
        </w:rPr>
        <w:pict>
          <v:shape id="_x0000_s1026" o:spid="_x0000_s1026" o:spt="136" type="#_x0000_t136" style="position:absolute;left:0pt;margin-left:-22.65pt;margin-top:34.85pt;height:130.45pt;width:500.6pt;mso-wrap-distance-bottom:0pt;mso-wrap-distance-top:0pt;z-index:251659264;mso-width-relative:page;mso-height-relative:page;" fillcolor="#0066CC" filled="t" stroked="t" coordsize="21600,21600" adj="10800">
            <v:path/>
            <v:fill on="t" color2="#FFFFFF" focussize="0,0"/>
            <v:stroke weight="1.5pt" color="#99CCFF"/>
            <v:imagedata o:title=""/>
            <o:lock v:ext="edit" aspectratio="f"/>
            <v:textpath on="t" fitshape="t" fitpath="t" trim="t" xscale="f" string="“星悦家园”&#10;前期物业管理项目招标文件" style="font-family:宋体;font-size:36pt;v-rotate-letters:f;v-same-letter-heights:f;v-text-align:center;"/>
            <v:shadow on="t" obscured="0" color="#990000" opacity="65536f" offset="2pt,2pt" offset2="0pt,0pt" origin="0f,0f" matrix="65536f,0f,0f,65536f,0,0"/>
            <w10:wrap type="topAndBottom"/>
          </v:shape>
        </w:pict>
      </w:r>
      <w:r>
        <w:rPr>
          <w:rFonts w:hint="eastAsia" w:eastAsia="黑体"/>
          <w:lang w:val="en-US" w:eastAsia="zh-CN"/>
        </w:rPr>
        <w:t xml:space="preserve"> </w:t>
      </w:r>
    </w:p>
    <w:p>
      <w:pPr>
        <w:rPr>
          <w:rFonts w:hint="eastAsia"/>
        </w:rPr>
      </w:pPr>
    </w:p>
    <w:p>
      <w:pPr>
        <w:pStyle w:val="5"/>
        <w:rPr>
          <w:rFonts w:hint="default" w:eastAsia="宋体"/>
          <w:w w:val="96"/>
          <w:kern w:val="0"/>
          <w:lang w:val="en-US" w:eastAsia="zh-CN"/>
        </w:rPr>
      </w:pPr>
      <w:r>
        <w:rPr>
          <w:rFonts w:hint="eastAsia"/>
          <w:spacing w:val="39"/>
          <w:kern w:val="0"/>
        </w:rPr>
        <w:t>招标人名</w:t>
      </w:r>
      <w:r>
        <w:rPr>
          <w:rFonts w:hint="eastAsia"/>
          <w:kern w:val="0"/>
        </w:rPr>
        <w:t>称</w:t>
      </w:r>
      <w:r>
        <w:rPr>
          <w:rFonts w:hint="eastAsia"/>
          <w:w w:val="96"/>
          <w:kern w:val="0"/>
        </w:rPr>
        <w:t>：</w:t>
      </w:r>
      <w:r>
        <w:rPr>
          <w:rFonts w:hint="eastAsia"/>
          <w:w w:val="96"/>
          <w:kern w:val="0"/>
          <w:lang w:val="en-US" w:eastAsia="zh-CN"/>
        </w:rPr>
        <w:t>永嘉县瓯北街道五星村股份经济合作社</w:t>
      </w:r>
      <w:r>
        <w:rPr>
          <w:rFonts w:hint="eastAsia"/>
          <w:w w:val="96"/>
          <w:kern w:val="0"/>
        </w:rPr>
        <w:t xml:space="preserve">（公章） </w:t>
      </w:r>
      <w:r>
        <w:rPr>
          <w:rFonts w:hint="eastAsia"/>
          <w:w w:val="96"/>
          <w:kern w:val="0"/>
          <w:lang w:val="en-US" w:eastAsia="zh-CN"/>
        </w:rPr>
        <w:t xml:space="preserve">         </w:t>
      </w:r>
    </w:p>
    <w:p>
      <w:pPr>
        <w:pStyle w:val="5"/>
        <w:rPr>
          <w:rFonts w:hint="eastAsia"/>
          <w:kern w:val="0"/>
          <w:lang w:val="en-US" w:eastAsia="zh-CN"/>
        </w:rPr>
      </w:pPr>
      <w:r>
        <w:rPr>
          <w:rFonts w:hint="eastAsia"/>
          <w:kern w:val="0"/>
        </w:rPr>
        <w:t>负  责  人：翁建朝</w:t>
      </w:r>
      <w:r>
        <w:rPr>
          <w:rFonts w:hint="eastAsia"/>
          <w:kern w:val="0"/>
          <w:lang w:val="en-US" w:eastAsia="zh-CN"/>
        </w:rPr>
        <w:t xml:space="preserve"> </w:t>
      </w:r>
    </w:p>
    <w:p>
      <w:pPr>
        <w:pStyle w:val="5"/>
        <w:rPr>
          <w:rFonts w:hint="default" w:eastAsia="宋体"/>
          <w:w w:val="96"/>
          <w:kern w:val="0"/>
          <w:lang w:val="en-US" w:eastAsia="zh-CN"/>
        </w:rPr>
      </w:pPr>
      <w:r>
        <w:rPr>
          <w:rFonts w:hint="eastAsia"/>
          <w:w w:val="96"/>
          <w:kern w:val="0"/>
        </w:rPr>
        <w:t>标的物名称</w:t>
      </w:r>
      <w:r>
        <w:rPr>
          <w:rFonts w:hint="eastAsia"/>
          <w:w w:val="96"/>
          <w:kern w:val="0"/>
          <w:lang w:val="en-US" w:eastAsia="zh-CN"/>
        </w:rPr>
        <w:t xml:space="preserve"> </w:t>
      </w:r>
      <w:r>
        <w:rPr>
          <w:rFonts w:hint="eastAsia"/>
          <w:w w:val="96"/>
          <w:kern w:val="0"/>
        </w:rPr>
        <w:t>：</w:t>
      </w:r>
      <w:r>
        <w:rPr>
          <w:rFonts w:hint="eastAsia"/>
          <w:w w:val="96"/>
          <w:kern w:val="0"/>
          <w:lang w:eastAsia="zh-CN"/>
        </w:rPr>
        <w:t>星悦家园</w:t>
      </w:r>
      <w:r>
        <w:rPr>
          <w:rFonts w:hint="eastAsia"/>
          <w:w w:val="96"/>
          <w:kern w:val="0"/>
          <w:lang w:val="en-US" w:eastAsia="zh-CN"/>
        </w:rPr>
        <w:t>物业管理项目</w:t>
      </w:r>
    </w:p>
    <w:p>
      <w:pPr>
        <w:pStyle w:val="5"/>
        <w:spacing w:line="360" w:lineRule="exact"/>
        <w:rPr>
          <w:rFonts w:hint="eastAsia"/>
          <w:spacing w:val="15"/>
          <w:kern w:val="0"/>
        </w:rPr>
      </w:pPr>
      <w:r>
        <w:rPr>
          <w:rFonts w:hint="eastAsia"/>
          <w:spacing w:val="15"/>
          <w:kern w:val="0"/>
        </w:rPr>
        <w:t>投标有效期：60日历天</w:t>
      </w:r>
    </w:p>
    <w:p>
      <w:pPr>
        <w:pStyle w:val="5"/>
        <w:spacing w:line="360" w:lineRule="exact"/>
        <w:rPr>
          <w:rFonts w:hint="eastAsia"/>
          <w:spacing w:val="15"/>
          <w:kern w:val="0"/>
        </w:rPr>
      </w:pPr>
      <w:r>
        <w:rPr>
          <w:rFonts w:hint="eastAsia"/>
          <w:spacing w:val="15"/>
          <w:kern w:val="0"/>
        </w:rPr>
        <w:t>招标文件发布日期：202</w:t>
      </w:r>
      <w:r>
        <w:rPr>
          <w:rFonts w:hint="eastAsia"/>
          <w:spacing w:val="15"/>
          <w:kern w:val="0"/>
          <w:lang w:val="en-US" w:eastAsia="zh-CN"/>
        </w:rPr>
        <w:t>4</w:t>
      </w:r>
      <w:r>
        <w:rPr>
          <w:rFonts w:hint="eastAsia"/>
          <w:spacing w:val="15"/>
          <w:kern w:val="0"/>
        </w:rPr>
        <w:t>年</w:t>
      </w:r>
      <w:r>
        <w:rPr>
          <w:rFonts w:hint="eastAsia"/>
          <w:spacing w:val="15"/>
          <w:kern w:val="0"/>
          <w:lang w:val="en-US" w:eastAsia="zh-CN"/>
        </w:rPr>
        <w:t>10</w:t>
      </w:r>
      <w:r>
        <w:rPr>
          <w:rFonts w:hint="eastAsia"/>
          <w:spacing w:val="15"/>
          <w:kern w:val="0"/>
        </w:rPr>
        <w:t>月</w:t>
      </w:r>
    </w:p>
    <w:p>
      <w:pPr>
        <w:rPr>
          <w:rFonts w:hint="eastAsia" w:eastAsia="华文仿宋"/>
          <w:b/>
          <w:sz w:val="32"/>
        </w:rPr>
      </w:pPr>
    </w:p>
    <w:p>
      <w:pPr>
        <w:rPr>
          <w:rFonts w:hint="eastAsia" w:eastAsia="华文仿宋"/>
          <w:b/>
          <w:sz w:val="32"/>
        </w:rPr>
      </w:pPr>
    </w:p>
    <w:p>
      <w:pPr>
        <w:rPr>
          <w:rFonts w:hint="eastAsia" w:eastAsia="华文仿宋"/>
          <w:b/>
          <w:sz w:val="32"/>
        </w:rPr>
      </w:pPr>
    </w:p>
    <w:p>
      <w:pPr>
        <w:rPr>
          <w:rFonts w:hint="eastAsia" w:eastAsia="华文仿宋"/>
          <w:b/>
          <w:sz w:val="32"/>
        </w:rPr>
      </w:pPr>
    </w:p>
    <w:p>
      <w:pPr>
        <w:rPr>
          <w:rFonts w:hint="eastAsia" w:eastAsia="华文仿宋"/>
          <w:b/>
          <w:sz w:val="32"/>
        </w:rPr>
      </w:pPr>
    </w:p>
    <w:p>
      <w:pPr>
        <w:pStyle w:val="2"/>
        <w:rPr>
          <w:rFonts w:hint="eastAsia" w:eastAsia="华文仿宋"/>
          <w:b/>
          <w:sz w:val="32"/>
        </w:rPr>
      </w:pPr>
    </w:p>
    <w:p>
      <w:pPr>
        <w:rPr>
          <w:rFonts w:hint="eastAsia" w:eastAsia="华文仿宋"/>
          <w:b/>
          <w:sz w:val="32"/>
        </w:rPr>
      </w:pPr>
    </w:p>
    <w:p>
      <w:pPr>
        <w:pStyle w:val="2"/>
        <w:rPr>
          <w:rFonts w:hint="eastAsia"/>
        </w:rPr>
      </w:pPr>
    </w:p>
    <w:p>
      <w:pPr>
        <w:pStyle w:val="4"/>
        <w:jc w:val="center"/>
        <w:rPr>
          <w:rFonts w:hint="eastAsia" w:eastAsia="黑体"/>
        </w:rPr>
      </w:pPr>
      <w:r>
        <w:rPr>
          <w:rFonts w:hint="eastAsia" w:eastAsia="黑体"/>
        </w:rPr>
        <w:t>招 标 文 件 目 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b/>
          <w:bCs/>
          <w:sz w:val="32"/>
        </w:rPr>
      </w:pPr>
      <w:r>
        <w:rPr>
          <w:rFonts w:hint="eastAsia"/>
          <w:b/>
          <w:bCs/>
          <w:sz w:val="32"/>
        </w:rPr>
        <w:t xml:space="preserve"> 物业管理招投标概况</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一、投标须知</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二、物业基本情况和管理服务内容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rPr>
      </w:pPr>
      <w:r>
        <w:rPr>
          <w:rFonts w:hint="eastAsia"/>
          <w:b/>
          <w:bCs/>
          <w:sz w:val="32"/>
        </w:rPr>
        <w:t>第二章  综合说明</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一、总则</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二、招标文件</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三、投标文件内容及编制要求</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四、投标文件递交</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五、开标</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六、评标</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七、授予合同</w:t>
      </w:r>
    </w:p>
    <w:p>
      <w:pPr>
        <w:keepNext w:val="0"/>
        <w:keepLines w:val="0"/>
        <w:pageBreakBefore w:val="0"/>
        <w:widowControl w:val="0"/>
        <w:kinsoku/>
        <w:wordWrap/>
        <w:overflowPunct/>
        <w:topLinePunct w:val="0"/>
        <w:autoSpaceDE/>
        <w:autoSpaceDN/>
        <w:bidi w:val="0"/>
        <w:adjustRightInd/>
        <w:snapToGrid/>
        <w:spacing w:line="460" w:lineRule="exact"/>
        <w:ind w:firstLine="540"/>
        <w:textAlignment w:val="auto"/>
        <w:rPr>
          <w:rFonts w:hint="eastAsia" w:eastAsia="仿宋_GB2312"/>
          <w:sz w:val="32"/>
        </w:rPr>
      </w:pPr>
      <w:r>
        <w:rPr>
          <w:rFonts w:hint="eastAsia" w:eastAsia="仿宋_GB2312"/>
          <w:sz w:val="32"/>
        </w:rPr>
        <w:t>八、其他事项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rPr>
      </w:pPr>
      <w:r>
        <w:rPr>
          <w:rFonts w:hint="eastAsia" w:eastAsia="仿宋_GB2312"/>
          <w:sz w:val="32"/>
        </w:rPr>
        <w:t>附件一：物业管理项目招标评标办法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color w:val="auto"/>
          <w:sz w:val="32"/>
        </w:rPr>
      </w:pPr>
      <w:r>
        <w:rPr>
          <w:rFonts w:hint="eastAsia" w:eastAsia="仿宋_GB2312"/>
          <w:color w:val="auto"/>
          <w:sz w:val="32"/>
        </w:rPr>
        <w:t>附件二：投标履行承诺书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b/>
          <w:color w:val="auto"/>
          <w:sz w:val="32"/>
          <w:lang w:eastAsia="zh-CN"/>
        </w:rPr>
      </w:pPr>
      <w:r>
        <w:rPr>
          <w:rFonts w:hint="eastAsia" w:eastAsia="仿宋_GB2312"/>
          <w:color w:val="auto"/>
          <w:sz w:val="32"/>
        </w:rPr>
        <w:t>附件三：</w:t>
      </w:r>
      <w:r>
        <w:rPr>
          <w:rFonts w:hint="eastAsia" w:eastAsia="仿宋_GB2312"/>
          <w:color w:val="auto"/>
          <w:sz w:val="32"/>
          <w:lang w:eastAsia="zh-CN"/>
        </w:rPr>
        <w:t>星悦家园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rPr>
      </w:pPr>
      <w:r>
        <w:rPr>
          <w:rFonts w:hint="eastAsia" w:eastAsia="仿宋_GB2312"/>
          <w:color w:val="auto"/>
          <w:sz w:val="32"/>
        </w:rPr>
        <w:t>附件</w:t>
      </w:r>
      <w:r>
        <w:rPr>
          <w:rFonts w:hint="eastAsia" w:eastAsia="仿宋_GB2312"/>
          <w:sz w:val="32"/>
        </w:rPr>
        <w:t>四：信誉标计分表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rPr>
      </w:pPr>
      <w:r>
        <w:rPr>
          <w:rFonts w:hint="eastAsia" w:eastAsia="仿宋_GB2312"/>
          <w:sz w:val="32"/>
        </w:rPr>
        <w:t>附件五：技术标计分表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rPr>
      </w:pPr>
      <w:r>
        <w:rPr>
          <w:rFonts w:hint="eastAsia" w:eastAsia="仿宋_GB2312"/>
          <w:sz w:val="32"/>
        </w:rPr>
        <w:t>附件六：现场答辩计分表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rPr>
      </w:pPr>
      <w:r>
        <w:rPr>
          <w:rFonts w:hint="eastAsia" w:eastAsia="仿宋_GB2312"/>
          <w:sz w:val="32"/>
        </w:rPr>
        <w:t>附件七：法人授权书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仿宋_GB2312"/>
          <w:sz w:val="32"/>
          <w:lang w:val="en-US" w:eastAsia="zh-CN"/>
        </w:rPr>
      </w:pPr>
      <w:r>
        <w:rPr>
          <w:rFonts w:hint="eastAsia" w:eastAsia="仿宋_GB2312"/>
          <w:sz w:val="32"/>
          <w:lang w:val="en-US" w:eastAsia="zh-CN"/>
        </w:rPr>
        <w:t>附件八：项目业绩证明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附件九：商务标报价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附件十：物业服务收费基准价及其浮动幅度</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eastAsia="仿宋_GB2312"/>
          <w:sz w:val="32"/>
          <w:lang w:val="en-US" w:eastAsia="zh-CN"/>
        </w:rPr>
      </w:pPr>
      <w:r>
        <w:rPr>
          <w:rFonts w:hint="eastAsia" w:eastAsia="仿宋_GB2312"/>
          <w:sz w:val="32"/>
          <w:lang w:val="en-US" w:eastAsia="zh-CN"/>
        </w:rPr>
        <w:t>附件十一：人员配置情况表</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eastAsia="仿宋_GB2312"/>
          <w:sz w:val="32"/>
          <w:lang w:val="en-US" w:eastAsia="zh-CN"/>
        </w:rPr>
      </w:pPr>
      <w:r>
        <w:rPr>
          <w:rFonts w:hint="eastAsia" w:eastAsia="仿宋_GB2312"/>
          <w:sz w:val="32"/>
          <w:lang w:val="en-US" w:eastAsia="zh-CN"/>
        </w:rPr>
        <w:t>附件十二：前期物业服务合同</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lang w:val="en-US" w:eastAsia="zh-CN"/>
        </w:rPr>
      </w:pPr>
      <w:r>
        <w:rPr>
          <w:rFonts w:hint="eastAsia" w:eastAsia="仿宋_GB2312"/>
          <w:sz w:val="32"/>
          <w:lang w:val="en-US" w:eastAsia="zh-CN"/>
        </w:rPr>
        <w:t>附件十三：物业管理的考核要求表</w:t>
      </w:r>
    </w:p>
    <w:p>
      <w:pPr>
        <w:rPr>
          <w:rFonts w:hint="eastAsia" w:eastAsia="仿宋_GB2312"/>
          <w:sz w:val="32"/>
        </w:rPr>
      </w:pPr>
    </w:p>
    <w:p>
      <w:pPr>
        <w:pStyle w:val="2"/>
        <w:rPr>
          <w:rFonts w:hint="eastAsia" w:eastAsia="仿宋_GB2312"/>
          <w:sz w:val="32"/>
        </w:rPr>
      </w:pPr>
    </w:p>
    <w:p>
      <w:pPr>
        <w:rPr>
          <w:rFonts w:hint="eastAsia"/>
        </w:rPr>
      </w:pPr>
    </w:p>
    <w:p>
      <w:pPr>
        <w:spacing w:line="460" w:lineRule="exact"/>
        <w:jc w:val="center"/>
        <w:rPr>
          <w:rFonts w:hint="eastAsia" w:eastAsia="华文中宋"/>
          <w:sz w:val="32"/>
          <w:szCs w:val="32"/>
        </w:rPr>
      </w:pPr>
      <w:r>
        <w:rPr>
          <w:rFonts w:hint="eastAsia" w:eastAsia="华文中宋"/>
          <w:b/>
          <w:bCs/>
          <w:sz w:val="32"/>
          <w:szCs w:val="32"/>
        </w:rPr>
        <w:t>第一章  物业管理招投标概况</w:t>
      </w:r>
    </w:p>
    <w:p>
      <w:pPr>
        <w:spacing w:line="340" w:lineRule="exact"/>
        <w:jc w:val="center"/>
        <w:rPr>
          <w:rFonts w:hint="eastAsia"/>
          <w:b/>
          <w:bCs/>
          <w:sz w:val="30"/>
          <w:szCs w:val="30"/>
        </w:rPr>
      </w:pPr>
    </w:p>
    <w:p>
      <w:pPr>
        <w:spacing w:line="340" w:lineRule="exact"/>
        <w:jc w:val="center"/>
        <w:rPr>
          <w:rFonts w:hint="eastAsia"/>
          <w:b/>
          <w:bCs/>
          <w:sz w:val="30"/>
          <w:szCs w:val="30"/>
        </w:rPr>
      </w:pPr>
      <w:r>
        <w:rPr>
          <w:rFonts w:hint="eastAsia"/>
          <w:b/>
          <w:bCs/>
          <w:sz w:val="30"/>
          <w:szCs w:val="30"/>
        </w:rPr>
        <w:t>一、投 标 须 知</w:t>
      </w:r>
    </w:p>
    <w:p>
      <w:pPr>
        <w:spacing w:line="420" w:lineRule="exact"/>
        <w:rPr>
          <w:rFonts w:hint="eastAsia" w:eastAsia="宋体"/>
          <w:sz w:val="28"/>
          <w:szCs w:val="28"/>
          <w:lang w:eastAsia="zh-CN"/>
        </w:rPr>
      </w:pPr>
      <w:r>
        <w:rPr>
          <w:rFonts w:hint="eastAsia"/>
          <w:sz w:val="28"/>
          <w:szCs w:val="28"/>
        </w:rPr>
        <w:t>（一）物业名称：</w:t>
      </w:r>
      <w:r>
        <w:rPr>
          <w:rFonts w:hint="eastAsia"/>
          <w:sz w:val="28"/>
          <w:szCs w:val="28"/>
          <w:lang w:eastAsia="zh-CN"/>
        </w:rPr>
        <w:t>星悦家园</w:t>
      </w:r>
    </w:p>
    <w:p>
      <w:pPr>
        <w:numPr>
          <w:ilvl w:val="0"/>
          <w:numId w:val="2"/>
        </w:numPr>
        <w:spacing w:line="420" w:lineRule="exact"/>
        <w:rPr>
          <w:rFonts w:hint="eastAsia"/>
          <w:sz w:val="28"/>
          <w:szCs w:val="28"/>
          <w:u w:val="single"/>
        </w:rPr>
      </w:pPr>
      <w:r>
        <w:rPr>
          <w:rFonts w:hint="eastAsia"/>
          <w:sz w:val="28"/>
          <w:szCs w:val="28"/>
        </w:rPr>
        <w:t>物业地点：</w:t>
      </w:r>
      <w:r>
        <w:rPr>
          <w:rFonts w:hint="eastAsia"/>
          <w:sz w:val="28"/>
          <w:szCs w:val="28"/>
          <w:lang w:eastAsia="zh-CN"/>
        </w:rPr>
        <w:t>永嘉县东瓯街道五星村</w:t>
      </w:r>
    </w:p>
    <w:p>
      <w:pPr>
        <w:numPr>
          <w:ilvl w:val="0"/>
          <w:numId w:val="2"/>
        </w:numPr>
        <w:spacing w:line="420" w:lineRule="exact"/>
        <w:rPr>
          <w:rFonts w:hint="eastAsia"/>
          <w:sz w:val="28"/>
          <w:szCs w:val="28"/>
          <w:u w:val="single"/>
        </w:rPr>
      </w:pPr>
      <w:r>
        <w:rPr>
          <w:rFonts w:hint="eastAsia"/>
          <w:sz w:val="28"/>
          <w:szCs w:val="28"/>
        </w:rPr>
        <w:t>招标备案：永嘉县住房与城乡建设局</w:t>
      </w:r>
      <w:r>
        <w:rPr>
          <w:rFonts w:hint="eastAsia"/>
          <w:sz w:val="28"/>
          <w:szCs w:val="28"/>
          <w:u w:val="single"/>
        </w:rPr>
        <w:t xml:space="preserve"> </w:t>
      </w:r>
      <w:r>
        <w:rPr>
          <w:rFonts w:hint="eastAsia"/>
          <w:sz w:val="28"/>
          <w:szCs w:val="28"/>
          <w:u w:val="single"/>
          <w:lang w:eastAsia="zh-CN"/>
        </w:rPr>
        <w:t>2024</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eastAsia="zh-CN"/>
        </w:rPr>
        <w:t>10</w:t>
      </w:r>
      <w:r>
        <w:rPr>
          <w:rFonts w:hint="eastAsia"/>
          <w:sz w:val="28"/>
          <w:szCs w:val="28"/>
        </w:rPr>
        <w:t>月</w:t>
      </w:r>
      <w:r>
        <w:rPr>
          <w:rFonts w:hint="eastAsia"/>
          <w:sz w:val="28"/>
          <w:szCs w:val="28"/>
          <w:u w:val="single"/>
        </w:rPr>
        <w:t xml:space="preserve"> </w:t>
      </w:r>
      <w:r>
        <w:rPr>
          <w:rFonts w:hint="eastAsia"/>
          <w:sz w:val="28"/>
          <w:szCs w:val="28"/>
          <w:u w:val="single"/>
          <w:lang w:eastAsia="zh-CN"/>
        </w:rPr>
        <w:t>14</w:t>
      </w:r>
      <w:bookmarkStart w:id="27" w:name="_GoBack"/>
      <w:bookmarkEnd w:id="27"/>
      <w:r>
        <w:rPr>
          <w:rFonts w:hint="eastAsia"/>
          <w:sz w:val="28"/>
          <w:szCs w:val="28"/>
        </w:rPr>
        <w:t>日备案</w:t>
      </w:r>
    </w:p>
    <w:p>
      <w:pPr>
        <w:spacing w:line="420" w:lineRule="exact"/>
        <w:rPr>
          <w:rFonts w:hint="eastAsia"/>
          <w:sz w:val="28"/>
          <w:szCs w:val="28"/>
        </w:rPr>
      </w:pPr>
      <w:r>
        <w:rPr>
          <w:rFonts w:hint="eastAsia"/>
          <w:sz w:val="28"/>
          <w:szCs w:val="28"/>
        </w:rPr>
        <w:t>（四）招标单位联系人：李振者</w:t>
      </w:r>
      <w:r>
        <w:rPr>
          <w:rFonts w:hint="eastAsia"/>
          <w:sz w:val="28"/>
          <w:szCs w:val="28"/>
          <w:lang w:val="en-US" w:eastAsia="zh-CN"/>
        </w:rPr>
        <w:t xml:space="preserve">     </w:t>
      </w:r>
      <w:r>
        <w:rPr>
          <w:rFonts w:hint="eastAsia"/>
          <w:sz w:val="28"/>
          <w:szCs w:val="28"/>
        </w:rPr>
        <w:t xml:space="preserve">  电话：13736939788</w:t>
      </w:r>
      <w:r>
        <w:rPr>
          <w:rFonts w:hint="eastAsia"/>
          <w:sz w:val="28"/>
          <w:szCs w:val="28"/>
          <w:lang w:val="en-US" w:eastAsia="zh-CN"/>
        </w:rPr>
        <w:t xml:space="preserve"> </w:t>
      </w:r>
    </w:p>
    <w:p>
      <w:pPr>
        <w:spacing w:line="420" w:lineRule="exact"/>
        <w:rPr>
          <w:sz w:val="28"/>
          <w:szCs w:val="28"/>
        </w:rPr>
      </w:pPr>
      <w:r>
        <w:rPr>
          <w:rFonts w:hint="eastAsia"/>
          <w:sz w:val="28"/>
          <w:szCs w:val="28"/>
        </w:rPr>
        <w:t>（五）物业类型及规模： 商住</w:t>
      </w:r>
    </w:p>
    <w:p>
      <w:pPr>
        <w:spacing w:line="420" w:lineRule="exact"/>
        <w:rPr>
          <w:rFonts w:hint="eastAsia"/>
          <w:sz w:val="28"/>
          <w:szCs w:val="28"/>
        </w:rPr>
      </w:pPr>
      <w:r>
        <w:rPr>
          <w:rFonts w:hint="eastAsia"/>
          <w:sz w:val="28"/>
          <w:szCs w:val="28"/>
        </w:rPr>
        <w:t>（六）投标单位要求：具有独立法人资格的物业公司</w:t>
      </w:r>
    </w:p>
    <w:p>
      <w:pPr>
        <w:spacing w:line="420" w:lineRule="exact"/>
        <w:rPr>
          <w:rFonts w:hint="eastAsia"/>
          <w:sz w:val="28"/>
          <w:szCs w:val="28"/>
        </w:rPr>
      </w:pPr>
      <w:r>
        <w:rPr>
          <w:rFonts w:hint="eastAsia"/>
          <w:sz w:val="28"/>
          <w:szCs w:val="28"/>
        </w:rPr>
        <w:t xml:space="preserve">（七）投标保证金数额：人民币 </w:t>
      </w:r>
      <w:r>
        <w:rPr>
          <w:rFonts w:hint="eastAsia"/>
          <w:sz w:val="28"/>
          <w:szCs w:val="28"/>
          <w:u w:val="single"/>
        </w:rPr>
        <w:t xml:space="preserve"> </w:t>
      </w:r>
      <w:r>
        <w:rPr>
          <w:rFonts w:hint="eastAsia"/>
          <w:sz w:val="28"/>
          <w:szCs w:val="28"/>
          <w:u w:val="single"/>
          <w:lang w:val="en-US" w:eastAsia="zh-CN"/>
        </w:rPr>
        <w:t>叁</w:t>
      </w:r>
      <w:r>
        <w:rPr>
          <w:rFonts w:hint="eastAsia"/>
          <w:sz w:val="28"/>
          <w:szCs w:val="28"/>
          <w:u w:val="single"/>
        </w:rPr>
        <w:t xml:space="preserve">  </w:t>
      </w:r>
      <w:r>
        <w:rPr>
          <w:rFonts w:hint="eastAsia"/>
          <w:sz w:val="28"/>
          <w:szCs w:val="28"/>
        </w:rPr>
        <w:t>万元整，</w:t>
      </w:r>
    </w:p>
    <w:p>
      <w:pPr>
        <w:spacing w:line="420" w:lineRule="exact"/>
        <w:ind w:firstLine="840" w:firstLineChars="300"/>
        <w:rPr>
          <w:rFonts w:hint="eastAsia"/>
          <w:sz w:val="28"/>
          <w:szCs w:val="28"/>
        </w:rPr>
      </w:pPr>
      <w:r>
        <w:rPr>
          <w:rFonts w:hint="eastAsia"/>
          <w:sz w:val="28"/>
          <w:szCs w:val="28"/>
        </w:rPr>
        <w:t>截止日期：</w:t>
      </w:r>
      <w:r>
        <w:rPr>
          <w:rFonts w:hint="eastAsia"/>
          <w:sz w:val="28"/>
          <w:szCs w:val="28"/>
          <w:lang w:eastAsia="zh-CN"/>
        </w:rPr>
        <w:t>2024</w:t>
      </w:r>
      <w:r>
        <w:rPr>
          <w:rFonts w:hint="eastAsia"/>
          <w:sz w:val="28"/>
          <w:szCs w:val="28"/>
        </w:rPr>
        <w:t xml:space="preserve"> 年 </w:t>
      </w:r>
      <w:r>
        <w:rPr>
          <w:rFonts w:hint="eastAsia"/>
          <w:sz w:val="28"/>
          <w:szCs w:val="28"/>
          <w:lang w:eastAsia="zh-CN"/>
        </w:rPr>
        <w:t>11</w:t>
      </w:r>
      <w:r>
        <w:rPr>
          <w:rFonts w:hint="eastAsia"/>
          <w:sz w:val="28"/>
          <w:szCs w:val="28"/>
        </w:rPr>
        <w:t xml:space="preserve"> 月 </w:t>
      </w:r>
      <w:r>
        <w:rPr>
          <w:rFonts w:hint="eastAsia"/>
          <w:sz w:val="28"/>
          <w:szCs w:val="28"/>
          <w:lang w:eastAsia="zh-CN"/>
        </w:rPr>
        <w:t>1</w:t>
      </w:r>
      <w:r>
        <w:rPr>
          <w:rFonts w:hint="eastAsia"/>
          <w:sz w:val="28"/>
          <w:szCs w:val="28"/>
        </w:rPr>
        <w:t xml:space="preserve">日 </w:t>
      </w:r>
      <w:r>
        <w:rPr>
          <w:rFonts w:hint="eastAsia"/>
          <w:sz w:val="28"/>
          <w:szCs w:val="28"/>
          <w:lang w:eastAsia="zh-CN"/>
        </w:rPr>
        <w:t>17</w:t>
      </w:r>
      <w:r>
        <w:rPr>
          <w:rFonts w:hint="eastAsia"/>
          <w:sz w:val="28"/>
          <w:szCs w:val="28"/>
        </w:rPr>
        <w:t>时前（专家库抽取专家评委前）。</w:t>
      </w:r>
    </w:p>
    <w:p>
      <w:pPr>
        <w:spacing w:line="420" w:lineRule="exact"/>
        <w:rPr>
          <w:rFonts w:hint="eastAsia"/>
          <w:sz w:val="28"/>
          <w:szCs w:val="28"/>
        </w:rPr>
      </w:pPr>
      <w:r>
        <w:rPr>
          <w:rFonts w:hint="eastAsia"/>
          <w:sz w:val="28"/>
          <w:szCs w:val="28"/>
        </w:rPr>
        <w:t>（八）领取招标文件：</w:t>
      </w:r>
    </w:p>
    <w:p>
      <w:pPr>
        <w:spacing w:line="420" w:lineRule="exact"/>
        <w:ind w:firstLine="840" w:firstLineChars="300"/>
        <w:rPr>
          <w:rFonts w:hint="eastAsia"/>
          <w:sz w:val="28"/>
          <w:szCs w:val="28"/>
          <w:u w:val="single"/>
        </w:rPr>
      </w:pPr>
      <w:r>
        <w:rPr>
          <w:rFonts w:hint="eastAsia"/>
          <w:sz w:val="28"/>
          <w:szCs w:val="28"/>
        </w:rPr>
        <w:t>时间：</w:t>
      </w:r>
      <w:r>
        <w:rPr>
          <w:rFonts w:hint="eastAsia"/>
          <w:sz w:val="28"/>
          <w:szCs w:val="28"/>
          <w:lang w:eastAsia="zh-CN"/>
        </w:rPr>
        <w:t>2024</w:t>
      </w:r>
      <w:r>
        <w:rPr>
          <w:rFonts w:hint="eastAsia"/>
          <w:sz w:val="28"/>
          <w:szCs w:val="28"/>
        </w:rPr>
        <w:t xml:space="preserve"> 年 </w:t>
      </w:r>
      <w:r>
        <w:rPr>
          <w:rFonts w:hint="eastAsia"/>
          <w:sz w:val="28"/>
          <w:szCs w:val="28"/>
          <w:lang w:eastAsia="zh-CN"/>
        </w:rPr>
        <w:t>10</w:t>
      </w:r>
      <w:r>
        <w:rPr>
          <w:rFonts w:hint="eastAsia"/>
          <w:sz w:val="28"/>
          <w:szCs w:val="28"/>
        </w:rPr>
        <w:t xml:space="preserve">月 </w:t>
      </w:r>
      <w:r>
        <w:rPr>
          <w:rFonts w:hint="eastAsia"/>
          <w:sz w:val="28"/>
          <w:szCs w:val="28"/>
          <w:lang w:eastAsia="zh-CN"/>
        </w:rPr>
        <w:t>20</w:t>
      </w:r>
      <w:r>
        <w:rPr>
          <w:rFonts w:hint="eastAsia"/>
          <w:sz w:val="28"/>
          <w:szCs w:val="28"/>
        </w:rPr>
        <w:t xml:space="preserve">日 </w:t>
      </w:r>
      <w:r>
        <w:rPr>
          <w:rFonts w:hint="eastAsia"/>
          <w:sz w:val="28"/>
          <w:szCs w:val="28"/>
          <w:lang w:eastAsia="zh-CN"/>
        </w:rPr>
        <w:t>17</w:t>
      </w:r>
      <w:r>
        <w:rPr>
          <w:rFonts w:hint="eastAsia"/>
          <w:sz w:val="28"/>
          <w:szCs w:val="28"/>
        </w:rPr>
        <w:t xml:space="preserve"> 时</w:t>
      </w:r>
      <w:r>
        <w:rPr>
          <w:rFonts w:hint="eastAsia"/>
          <w:sz w:val="28"/>
          <w:szCs w:val="28"/>
          <w:lang w:eastAsia="zh-CN"/>
        </w:rPr>
        <w:t>前</w:t>
      </w:r>
    </w:p>
    <w:p>
      <w:pPr>
        <w:spacing w:line="420" w:lineRule="exact"/>
        <w:ind w:firstLine="840" w:firstLineChars="300"/>
        <w:rPr>
          <w:rFonts w:hint="eastAsia"/>
          <w:sz w:val="28"/>
          <w:szCs w:val="28"/>
          <w:u w:val="single"/>
        </w:rPr>
      </w:pPr>
      <w:r>
        <w:rPr>
          <w:rFonts w:hint="eastAsia"/>
          <w:sz w:val="28"/>
          <w:szCs w:val="28"/>
        </w:rPr>
        <w:t>地点：</w:t>
      </w:r>
      <w:r>
        <w:rPr>
          <w:rFonts w:hint="eastAsia"/>
          <w:sz w:val="28"/>
          <w:szCs w:val="28"/>
          <w:lang w:eastAsia="zh-CN"/>
        </w:rPr>
        <w:t>温州大道823号爱好数字园c301</w:t>
      </w:r>
    </w:p>
    <w:p>
      <w:pPr>
        <w:spacing w:line="420" w:lineRule="exact"/>
        <w:rPr>
          <w:rFonts w:hint="eastAsia"/>
          <w:sz w:val="28"/>
          <w:szCs w:val="28"/>
        </w:rPr>
      </w:pPr>
      <w:r>
        <w:rPr>
          <w:rFonts w:hint="eastAsia"/>
          <w:sz w:val="28"/>
          <w:szCs w:val="28"/>
        </w:rPr>
        <w:t>（九）现场踏勘：</w:t>
      </w:r>
    </w:p>
    <w:p>
      <w:pPr>
        <w:spacing w:line="420" w:lineRule="exact"/>
        <w:ind w:firstLine="840" w:firstLineChars="300"/>
        <w:rPr>
          <w:rFonts w:hint="eastAsia"/>
          <w:sz w:val="28"/>
          <w:szCs w:val="28"/>
        </w:rPr>
      </w:pPr>
      <w:r>
        <w:rPr>
          <w:rFonts w:hint="eastAsia"/>
          <w:sz w:val="28"/>
          <w:szCs w:val="28"/>
        </w:rPr>
        <w:t>时间：</w:t>
      </w:r>
      <w:r>
        <w:rPr>
          <w:rFonts w:hint="eastAsia"/>
          <w:sz w:val="28"/>
          <w:szCs w:val="28"/>
          <w:lang w:eastAsia="zh-CN"/>
        </w:rPr>
        <w:t>2024</w:t>
      </w:r>
      <w:r>
        <w:rPr>
          <w:rFonts w:hint="eastAsia"/>
          <w:sz w:val="28"/>
          <w:szCs w:val="28"/>
        </w:rPr>
        <w:t xml:space="preserve">年 </w:t>
      </w:r>
      <w:r>
        <w:rPr>
          <w:rFonts w:hint="eastAsia"/>
          <w:sz w:val="28"/>
          <w:szCs w:val="28"/>
          <w:lang w:eastAsia="zh-CN"/>
        </w:rPr>
        <w:t>/</w:t>
      </w:r>
      <w:r>
        <w:rPr>
          <w:rFonts w:hint="eastAsia"/>
          <w:sz w:val="28"/>
          <w:szCs w:val="28"/>
        </w:rPr>
        <w:t xml:space="preserve">月 </w:t>
      </w:r>
      <w:r>
        <w:rPr>
          <w:rFonts w:hint="eastAsia"/>
          <w:sz w:val="28"/>
          <w:szCs w:val="28"/>
          <w:lang w:eastAsia="zh-CN"/>
        </w:rPr>
        <w:t>/</w:t>
      </w:r>
      <w:r>
        <w:rPr>
          <w:rFonts w:hint="eastAsia"/>
          <w:sz w:val="28"/>
          <w:szCs w:val="28"/>
        </w:rPr>
        <w:t xml:space="preserve">日 </w:t>
      </w:r>
      <w:r>
        <w:rPr>
          <w:rFonts w:hint="eastAsia"/>
          <w:sz w:val="28"/>
          <w:szCs w:val="28"/>
          <w:lang w:eastAsia="zh-CN"/>
        </w:rPr>
        <w:t>/</w:t>
      </w:r>
      <w:r>
        <w:rPr>
          <w:rFonts w:hint="eastAsia"/>
          <w:sz w:val="28"/>
          <w:szCs w:val="28"/>
        </w:rPr>
        <w:t>时</w:t>
      </w:r>
    </w:p>
    <w:p>
      <w:pPr>
        <w:spacing w:line="420" w:lineRule="exact"/>
        <w:ind w:firstLine="840" w:firstLineChars="300"/>
        <w:rPr>
          <w:rFonts w:hint="eastAsia" w:eastAsia="宋体"/>
          <w:sz w:val="28"/>
          <w:szCs w:val="28"/>
          <w:lang w:eastAsia="zh-CN"/>
        </w:rPr>
      </w:pPr>
      <w:r>
        <w:rPr>
          <w:rFonts w:hint="eastAsia"/>
          <w:sz w:val="28"/>
          <w:szCs w:val="28"/>
        </w:rPr>
        <w:t>地点：</w:t>
      </w:r>
      <w:r>
        <w:rPr>
          <w:rFonts w:hint="eastAsia"/>
          <w:sz w:val="28"/>
          <w:szCs w:val="28"/>
          <w:lang w:eastAsia="zh-CN"/>
        </w:rPr>
        <w:t>永嘉县东瓯街道五星村</w:t>
      </w:r>
    </w:p>
    <w:p>
      <w:pPr>
        <w:spacing w:line="420" w:lineRule="exact"/>
        <w:rPr>
          <w:rFonts w:hint="eastAsia"/>
          <w:sz w:val="28"/>
          <w:szCs w:val="28"/>
        </w:rPr>
      </w:pPr>
      <w:r>
        <w:rPr>
          <w:rFonts w:hint="eastAsia"/>
          <w:sz w:val="28"/>
          <w:szCs w:val="28"/>
        </w:rPr>
        <w:t>（十）招标文件疑问解答（标前会议）：</w:t>
      </w:r>
    </w:p>
    <w:p>
      <w:pPr>
        <w:spacing w:line="420" w:lineRule="exact"/>
        <w:ind w:firstLine="840" w:firstLineChars="300"/>
        <w:rPr>
          <w:rFonts w:hint="eastAsia"/>
          <w:sz w:val="28"/>
          <w:szCs w:val="28"/>
        </w:rPr>
      </w:pPr>
      <w:r>
        <w:rPr>
          <w:rFonts w:hint="eastAsia"/>
          <w:sz w:val="28"/>
          <w:szCs w:val="28"/>
        </w:rPr>
        <w:t>时间：</w:t>
      </w:r>
      <w:r>
        <w:rPr>
          <w:rFonts w:hint="eastAsia"/>
          <w:sz w:val="28"/>
          <w:szCs w:val="28"/>
          <w:lang w:eastAsia="zh-CN"/>
        </w:rPr>
        <w:t>2024</w:t>
      </w:r>
      <w:r>
        <w:rPr>
          <w:rFonts w:hint="eastAsia"/>
          <w:sz w:val="28"/>
          <w:szCs w:val="28"/>
        </w:rPr>
        <w:t xml:space="preserve"> 年  </w:t>
      </w:r>
      <w:r>
        <w:rPr>
          <w:rFonts w:hint="eastAsia"/>
          <w:sz w:val="28"/>
          <w:szCs w:val="28"/>
          <w:lang w:eastAsia="zh-CN"/>
        </w:rPr>
        <w:t>/</w:t>
      </w:r>
      <w:r>
        <w:rPr>
          <w:rFonts w:hint="eastAsia"/>
          <w:sz w:val="28"/>
          <w:szCs w:val="28"/>
        </w:rPr>
        <w:t xml:space="preserve">月   </w:t>
      </w:r>
      <w:r>
        <w:rPr>
          <w:rFonts w:hint="eastAsia"/>
          <w:sz w:val="28"/>
          <w:szCs w:val="28"/>
          <w:lang w:eastAsia="zh-CN"/>
        </w:rPr>
        <w:t>/</w:t>
      </w:r>
      <w:r>
        <w:rPr>
          <w:rFonts w:hint="eastAsia"/>
          <w:sz w:val="28"/>
          <w:szCs w:val="28"/>
        </w:rPr>
        <w:t xml:space="preserve">日  </w:t>
      </w:r>
      <w:r>
        <w:rPr>
          <w:rFonts w:hint="eastAsia"/>
          <w:sz w:val="28"/>
          <w:szCs w:val="28"/>
          <w:lang w:eastAsia="zh-CN"/>
        </w:rPr>
        <w:t>/</w:t>
      </w:r>
      <w:r>
        <w:rPr>
          <w:rFonts w:hint="eastAsia"/>
          <w:sz w:val="28"/>
          <w:szCs w:val="28"/>
        </w:rPr>
        <w:t>时</w:t>
      </w:r>
    </w:p>
    <w:p>
      <w:pPr>
        <w:spacing w:line="420" w:lineRule="exact"/>
        <w:ind w:firstLine="840" w:firstLineChars="300"/>
        <w:rPr>
          <w:rFonts w:hint="eastAsia"/>
          <w:sz w:val="28"/>
          <w:szCs w:val="28"/>
        </w:rPr>
      </w:pPr>
      <w:r>
        <w:rPr>
          <w:rFonts w:hint="eastAsia"/>
          <w:sz w:val="28"/>
          <w:szCs w:val="28"/>
        </w:rPr>
        <w:t>地点：</w:t>
      </w:r>
      <w:r>
        <w:rPr>
          <w:rFonts w:hint="eastAsia"/>
          <w:sz w:val="28"/>
          <w:szCs w:val="28"/>
          <w:lang w:eastAsia="zh-CN"/>
        </w:rPr>
        <w:t>/</w:t>
      </w:r>
    </w:p>
    <w:p>
      <w:pPr>
        <w:spacing w:line="420" w:lineRule="exact"/>
        <w:rPr>
          <w:rFonts w:hint="eastAsia"/>
          <w:sz w:val="28"/>
          <w:szCs w:val="28"/>
        </w:rPr>
      </w:pPr>
      <w:r>
        <w:rPr>
          <w:rFonts w:hint="eastAsia"/>
          <w:sz w:val="28"/>
          <w:szCs w:val="28"/>
        </w:rPr>
        <w:t>（十一）领取标前会议纪要：</w:t>
      </w:r>
    </w:p>
    <w:p>
      <w:pPr>
        <w:spacing w:line="420" w:lineRule="exact"/>
        <w:ind w:firstLine="840" w:firstLineChars="300"/>
        <w:rPr>
          <w:rFonts w:hint="eastAsia"/>
          <w:sz w:val="28"/>
          <w:szCs w:val="28"/>
        </w:rPr>
      </w:pPr>
      <w:r>
        <w:rPr>
          <w:rFonts w:hint="eastAsia"/>
          <w:sz w:val="28"/>
          <w:szCs w:val="28"/>
        </w:rPr>
        <w:t>时间：</w:t>
      </w:r>
      <w:r>
        <w:rPr>
          <w:rFonts w:hint="eastAsia" w:eastAsia="仿宋_GB2312"/>
          <w:kern w:val="0"/>
          <w:sz w:val="28"/>
          <w:szCs w:val="28"/>
          <w:lang w:eastAsia="zh-CN"/>
        </w:rPr>
        <w:t>2024</w:t>
      </w:r>
      <w:r>
        <w:rPr>
          <w:rFonts w:hint="eastAsia"/>
          <w:sz w:val="28"/>
          <w:szCs w:val="28"/>
        </w:rPr>
        <w:t xml:space="preserve">年  </w:t>
      </w:r>
      <w:r>
        <w:rPr>
          <w:rFonts w:hint="eastAsia"/>
          <w:sz w:val="28"/>
          <w:szCs w:val="28"/>
          <w:lang w:eastAsia="zh-CN"/>
        </w:rPr>
        <w:t>/</w:t>
      </w:r>
      <w:r>
        <w:rPr>
          <w:rFonts w:hint="eastAsia"/>
          <w:sz w:val="28"/>
          <w:szCs w:val="28"/>
        </w:rPr>
        <w:t xml:space="preserve">月   </w:t>
      </w:r>
      <w:r>
        <w:rPr>
          <w:rFonts w:hint="eastAsia"/>
          <w:sz w:val="28"/>
          <w:szCs w:val="28"/>
          <w:lang w:eastAsia="zh-CN"/>
        </w:rPr>
        <w:t>/</w:t>
      </w:r>
      <w:r>
        <w:rPr>
          <w:rFonts w:hint="eastAsia"/>
          <w:sz w:val="28"/>
          <w:szCs w:val="28"/>
        </w:rPr>
        <w:t xml:space="preserve">日  </w:t>
      </w:r>
      <w:r>
        <w:rPr>
          <w:rFonts w:hint="eastAsia"/>
          <w:sz w:val="28"/>
          <w:szCs w:val="28"/>
          <w:lang w:eastAsia="zh-CN"/>
        </w:rPr>
        <w:t>/</w:t>
      </w:r>
      <w:r>
        <w:rPr>
          <w:rFonts w:hint="eastAsia"/>
          <w:sz w:val="28"/>
          <w:szCs w:val="28"/>
        </w:rPr>
        <w:t>时</w:t>
      </w:r>
    </w:p>
    <w:p>
      <w:pPr>
        <w:spacing w:line="420" w:lineRule="exact"/>
        <w:ind w:firstLine="840" w:firstLineChars="300"/>
        <w:rPr>
          <w:rFonts w:hint="eastAsia"/>
          <w:sz w:val="28"/>
          <w:szCs w:val="28"/>
          <w:u w:val="single"/>
        </w:rPr>
      </w:pPr>
      <w:r>
        <w:rPr>
          <w:rFonts w:hint="eastAsia"/>
          <w:sz w:val="28"/>
          <w:szCs w:val="28"/>
        </w:rPr>
        <w:t>地点：</w:t>
      </w:r>
      <w:r>
        <w:rPr>
          <w:rFonts w:hint="eastAsia"/>
          <w:sz w:val="28"/>
          <w:szCs w:val="28"/>
          <w:lang w:eastAsia="zh-CN"/>
        </w:rPr>
        <w:t>/</w:t>
      </w:r>
    </w:p>
    <w:p>
      <w:pPr>
        <w:spacing w:line="420" w:lineRule="exact"/>
        <w:rPr>
          <w:rFonts w:hint="eastAsia"/>
          <w:sz w:val="28"/>
          <w:szCs w:val="28"/>
        </w:rPr>
      </w:pPr>
      <w:r>
        <w:rPr>
          <w:rFonts w:hint="eastAsia"/>
          <w:sz w:val="28"/>
          <w:szCs w:val="28"/>
        </w:rPr>
        <w:t>（十二）投标文件递交：</w:t>
      </w:r>
    </w:p>
    <w:p>
      <w:pPr>
        <w:spacing w:line="420" w:lineRule="exact"/>
        <w:ind w:firstLine="840" w:firstLineChars="300"/>
        <w:rPr>
          <w:rFonts w:hint="eastAsia"/>
          <w:sz w:val="28"/>
          <w:szCs w:val="28"/>
        </w:rPr>
      </w:pPr>
      <w:r>
        <w:rPr>
          <w:rFonts w:hint="eastAsia"/>
          <w:sz w:val="28"/>
          <w:szCs w:val="28"/>
        </w:rPr>
        <w:t>截止时间：</w:t>
      </w:r>
      <w:r>
        <w:rPr>
          <w:rFonts w:hint="eastAsia"/>
          <w:sz w:val="28"/>
          <w:szCs w:val="28"/>
          <w:lang w:eastAsia="zh-CN"/>
        </w:rPr>
        <w:t>2024</w:t>
      </w:r>
      <w:r>
        <w:rPr>
          <w:rFonts w:hint="eastAsia"/>
          <w:sz w:val="28"/>
          <w:szCs w:val="28"/>
        </w:rPr>
        <w:t xml:space="preserve"> 年  </w:t>
      </w:r>
      <w:r>
        <w:rPr>
          <w:rFonts w:hint="eastAsia"/>
          <w:sz w:val="28"/>
          <w:szCs w:val="28"/>
          <w:lang w:eastAsia="zh-CN"/>
        </w:rPr>
        <w:t>11</w:t>
      </w:r>
      <w:r>
        <w:rPr>
          <w:rFonts w:hint="eastAsia"/>
          <w:sz w:val="28"/>
          <w:szCs w:val="28"/>
        </w:rPr>
        <w:t>月</w:t>
      </w:r>
      <w:r>
        <w:rPr>
          <w:rFonts w:hint="eastAsia"/>
          <w:sz w:val="28"/>
          <w:szCs w:val="28"/>
          <w:lang w:eastAsia="zh-CN"/>
        </w:rPr>
        <w:t>12</w:t>
      </w:r>
      <w:r>
        <w:rPr>
          <w:rFonts w:hint="eastAsia"/>
          <w:sz w:val="28"/>
          <w:szCs w:val="28"/>
        </w:rPr>
        <w:t xml:space="preserve">日 </w:t>
      </w:r>
      <w:r>
        <w:rPr>
          <w:rFonts w:hint="eastAsia"/>
          <w:sz w:val="28"/>
          <w:szCs w:val="28"/>
          <w:lang w:eastAsia="zh-CN"/>
        </w:rPr>
        <w:t>14</w:t>
      </w:r>
      <w:r>
        <w:rPr>
          <w:rFonts w:hint="eastAsia"/>
          <w:sz w:val="28"/>
          <w:szCs w:val="28"/>
        </w:rPr>
        <w:t>时</w:t>
      </w:r>
      <w:r>
        <w:rPr>
          <w:rFonts w:hint="eastAsia"/>
          <w:sz w:val="28"/>
          <w:szCs w:val="28"/>
          <w:lang w:eastAsia="zh-CN"/>
        </w:rPr>
        <w:t>30分前</w:t>
      </w:r>
    </w:p>
    <w:p>
      <w:pPr>
        <w:spacing w:line="420" w:lineRule="exact"/>
        <w:ind w:firstLine="840" w:firstLineChars="300"/>
        <w:rPr>
          <w:rFonts w:hint="eastAsia"/>
          <w:sz w:val="28"/>
          <w:szCs w:val="28"/>
        </w:rPr>
      </w:pPr>
      <w:r>
        <w:rPr>
          <w:rFonts w:hint="eastAsia"/>
          <w:sz w:val="28"/>
          <w:szCs w:val="28"/>
        </w:rPr>
        <w:t xml:space="preserve">地点： </w:t>
      </w:r>
      <w:r>
        <w:rPr>
          <w:rFonts w:hint="eastAsia"/>
          <w:sz w:val="28"/>
          <w:szCs w:val="28"/>
          <w:lang w:eastAsia="zh-CN"/>
        </w:rPr>
        <w:t>瓯北街道政务服务中心5楼会议室</w:t>
      </w:r>
    </w:p>
    <w:p>
      <w:pPr>
        <w:spacing w:line="420" w:lineRule="exact"/>
        <w:rPr>
          <w:rFonts w:hint="eastAsia"/>
          <w:sz w:val="28"/>
          <w:szCs w:val="28"/>
        </w:rPr>
      </w:pPr>
      <w:r>
        <w:rPr>
          <w:rFonts w:hint="eastAsia"/>
          <w:sz w:val="28"/>
          <w:szCs w:val="28"/>
        </w:rPr>
        <w:t>（十三）开标、评标会议：</w:t>
      </w:r>
    </w:p>
    <w:p>
      <w:pPr>
        <w:spacing w:line="420" w:lineRule="exact"/>
        <w:ind w:firstLine="840" w:firstLineChars="300"/>
        <w:rPr>
          <w:rFonts w:hint="eastAsia" w:eastAsia="仿宋_GB2312"/>
          <w:kern w:val="0"/>
          <w:sz w:val="28"/>
          <w:szCs w:val="28"/>
        </w:rPr>
      </w:pPr>
      <w:r>
        <w:rPr>
          <w:rFonts w:hint="eastAsia"/>
          <w:sz w:val="28"/>
          <w:szCs w:val="28"/>
        </w:rPr>
        <w:t>时间：</w:t>
      </w:r>
      <w:r>
        <w:rPr>
          <w:rFonts w:hint="eastAsia"/>
          <w:sz w:val="28"/>
          <w:szCs w:val="28"/>
          <w:lang w:eastAsia="zh-CN"/>
        </w:rPr>
        <w:t>2024</w:t>
      </w:r>
      <w:r>
        <w:rPr>
          <w:rFonts w:hint="eastAsia"/>
          <w:sz w:val="28"/>
          <w:szCs w:val="28"/>
        </w:rPr>
        <w:t xml:space="preserve"> 年</w:t>
      </w:r>
      <w:r>
        <w:rPr>
          <w:rFonts w:hint="eastAsia"/>
          <w:sz w:val="28"/>
          <w:szCs w:val="28"/>
          <w:lang w:eastAsia="zh-CN"/>
        </w:rPr>
        <w:t>11</w:t>
      </w:r>
      <w:r>
        <w:rPr>
          <w:rFonts w:hint="eastAsia"/>
          <w:sz w:val="28"/>
          <w:szCs w:val="28"/>
        </w:rPr>
        <w:t xml:space="preserve"> 月</w:t>
      </w:r>
      <w:r>
        <w:rPr>
          <w:rFonts w:hint="eastAsia"/>
          <w:sz w:val="28"/>
          <w:szCs w:val="28"/>
          <w:lang w:eastAsia="zh-CN"/>
        </w:rPr>
        <w:t>12</w:t>
      </w:r>
      <w:r>
        <w:rPr>
          <w:rFonts w:hint="eastAsia"/>
          <w:sz w:val="28"/>
          <w:szCs w:val="28"/>
        </w:rPr>
        <w:t>日14：30时</w:t>
      </w:r>
    </w:p>
    <w:p>
      <w:pPr>
        <w:spacing w:line="420" w:lineRule="exact"/>
        <w:ind w:firstLine="840" w:firstLineChars="300"/>
        <w:rPr>
          <w:rFonts w:hint="eastAsia"/>
          <w:sz w:val="28"/>
          <w:szCs w:val="28"/>
          <w:u w:val="single"/>
        </w:rPr>
      </w:pPr>
      <w:r>
        <w:rPr>
          <w:rFonts w:hint="eastAsia"/>
          <w:sz w:val="28"/>
          <w:szCs w:val="28"/>
        </w:rPr>
        <w:t>地点：</w:t>
      </w:r>
      <w:r>
        <w:rPr>
          <w:rFonts w:hint="eastAsia"/>
          <w:sz w:val="28"/>
          <w:szCs w:val="28"/>
          <w:lang w:eastAsia="zh-CN"/>
        </w:rPr>
        <w:t>瓯北街道政务服务中心5楼会议室</w:t>
      </w:r>
    </w:p>
    <w:p>
      <w:pPr>
        <w:spacing w:line="498" w:lineRule="exact"/>
        <w:rPr>
          <w:rFonts w:hint="eastAsia"/>
          <w:sz w:val="28"/>
          <w:szCs w:val="28"/>
        </w:rPr>
      </w:pPr>
      <w:r>
        <w:rPr>
          <w:rFonts w:hint="eastAsia"/>
          <w:sz w:val="28"/>
          <w:szCs w:val="28"/>
        </w:rPr>
        <w:t>（十四）本物业的管理服务费标准</w:t>
      </w:r>
      <w:r>
        <w:rPr>
          <w:rFonts w:hint="eastAsia"/>
          <w:sz w:val="28"/>
          <w:szCs w:val="28"/>
          <w:lang w:val="en-US" w:eastAsia="zh-CN"/>
        </w:rPr>
        <w:t>（三级）：高层住宅1.2-1.6元/平方米•月（最后执行价格以中标单位报价为准）（不含公共能耗费），</w:t>
      </w:r>
      <w:r>
        <w:rPr>
          <w:rFonts w:hint="eastAsia"/>
          <w:color w:val="auto"/>
          <w:sz w:val="28"/>
          <w:szCs w:val="28"/>
          <w:highlight w:val="none"/>
          <w:lang w:val="en-US" w:eastAsia="zh-CN"/>
        </w:rPr>
        <w:t>商业2.5</w:t>
      </w:r>
      <w:r>
        <w:rPr>
          <w:rFonts w:hint="eastAsia"/>
          <w:color w:val="auto"/>
          <w:sz w:val="28"/>
          <w:szCs w:val="28"/>
          <w:highlight w:val="none"/>
        </w:rPr>
        <w:t>元／㎡·月</w:t>
      </w:r>
      <w:r>
        <w:rPr>
          <w:rFonts w:hint="eastAsia"/>
          <w:color w:val="auto"/>
          <w:sz w:val="28"/>
          <w:szCs w:val="28"/>
          <w:highlight w:val="none"/>
          <w:lang w:eastAsia="zh-CN"/>
        </w:rPr>
        <w:t>（</w:t>
      </w:r>
      <w:r>
        <w:rPr>
          <w:rFonts w:hint="eastAsia"/>
          <w:color w:val="auto"/>
          <w:sz w:val="28"/>
          <w:szCs w:val="28"/>
          <w:highlight w:val="none"/>
          <w:lang w:val="en-US" w:eastAsia="zh-CN"/>
        </w:rPr>
        <w:t>不含公共能耗费），</w:t>
      </w:r>
      <w:r>
        <w:rPr>
          <w:rFonts w:hint="eastAsia"/>
          <w:color w:val="auto"/>
          <w:sz w:val="28"/>
          <w:szCs w:val="28"/>
          <w:highlight w:val="none"/>
        </w:rPr>
        <w:t>另公共能耗费用根据实际产生分摊,空置房由产权人按规定标准缴纳。车辆泊位管理费</w:t>
      </w:r>
      <w:r>
        <w:rPr>
          <w:rFonts w:hint="eastAsia"/>
          <w:color w:val="auto"/>
          <w:sz w:val="28"/>
          <w:szCs w:val="28"/>
          <w:highlight w:val="none"/>
          <w:lang w:val="en-US" w:eastAsia="zh-CN"/>
        </w:rPr>
        <w:t>4</w:t>
      </w:r>
      <w:r>
        <w:rPr>
          <w:rFonts w:hint="eastAsia"/>
          <w:color w:val="auto"/>
          <w:sz w:val="28"/>
          <w:szCs w:val="28"/>
          <w:highlight w:val="none"/>
        </w:rPr>
        <w:t>0元/辆·月。</w:t>
      </w:r>
      <w:r>
        <w:rPr>
          <w:rFonts w:hint="eastAsia"/>
          <w:sz w:val="28"/>
          <w:szCs w:val="28"/>
          <w:highlight w:val="none"/>
        </w:rPr>
        <w:t>装饰垃圾清</w:t>
      </w:r>
      <w:r>
        <w:rPr>
          <w:rFonts w:hint="eastAsia"/>
          <w:sz w:val="28"/>
          <w:szCs w:val="28"/>
        </w:rPr>
        <w:t>运费双方协商。受物业产权人、使用人委托的特约服务，需要收费的，由物业管理公司与委托人协商确定。</w:t>
      </w:r>
    </w:p>
    <w:p>
      <w:pPr>
        <w:spacing w:line="498" w:lineRule="exact"/>
        <w:rPr>
          <w:rFonts w:hint="eastAsia"/>
          <w:sz w:val="28"/>
          <w:szCs w:val="28"/>
        </w:rPr>
      </w:pPr>
      <w:r>
        <w:rPr>
          <w:rFonts w:hint="eastAsia"/>
          <w:sz w:val="28"/>
          <w:szCs w:val="28"/>
        </w:rPr>
        <w:t>（十五）其他说明：</w:t>
      </w:r>
    </w:p>
    <w:p>
      <w:pPr>
        <w:spacing w:line="498" w:lineRule="exact"/>
        <w:ind w:firstLine="560" w:firstLineChars="200"/>
        <w:rPr>
          <w:rFonts w:hint="eastAsia"/>
          <w:sz w:val="28"/>
          <w:szCs w:val="28"/>
        </w:rPr>
      </w:pPr>
      <w:r>
        <w:rPr>
          <w:rFonts w:hint="eastAsia"/>
          <w:sz w:val="28"/>
          <w:szCs w:val="28"/>
        </w:rPr>
        <w:t>1、中标单位应严格按招标书和委托管理合同的约定进行物业管理，若物业管理不善、业主意见大，委托方有权提出整改意见并通报有关主管部门，在整改期限后仍无明显改善的，有权在主管部门的指导下，依据法律法规及政策要求，按法定程序解除前期物业管理委托合同；</w:t>
      </w:r>
    </w:p>
    <w:p>
      <w:pPr>
        <w:spacing w:line="498" w:lineRule="exact"/>
        <w:ind w:firstLine="560" w:firstLineChars="200"/>
        <w:rPr>
          <w:rFonts w:hint="eastAsia"/>
          <w:b/>
          <w:sz w:val="28"/>
          <w:szCs w:val="28"/>
        </w:rPr>
      </w:pPr>
      <w:r>
        <w:rPr>
          <w:rFonts w:hint="eastAsia"/>
          <w:sz w:val="28"/>
          <w:szCs w:val="28"/>
        </w:rPr>
        <w:t>2、中标单位中标后，应按承诺配备物业管理处主任，如需变更应征求招标人意见，经同意后，方可变更。</w:t>
      </w:r>
    </w:p>
    <w:p>
      <w:pPr>
        <w:spacing w:line="498" w:lineRule="exact"/>
        <w:jc w:val="center"/>
        <w:rPr>
          <w:rFonts w:hint="eastAsia"/>
          <w:b/>
          <w:sz w:val="28"/>
          <w:szCs w:val="28"/>
        </w:rPr>
      </w:pPr>
      <w:r>
        <w:rPr>
          <w:rFonts w:hint="eastAsia"/>
          <w:b/>
          <w:sz w:val="28"/>
          <w:szCs w:val="28"/>
        </w:rPr>
        <w:t>二、物业基本情况和管理服务内容</w:t>
      </w:r>
    </w:p>
    <w:p>
      <w:pPr>
        <w:spacing w:line="498" w:lineRule="exact"/>
        <w:ind w:firstLine="560" w:firstLineChars="200"/>
        <w:rPr>
          <w:rFonts w:hint="eastAsia"/>
          <w:sz w:val="24"/>
        </w:rPr>
      </w:pPr>
      <w:r>
        <w:rPr>
          <w:rFonts w:hint="eastAsia"/>
          <w:sz w:val="28"/>
          <w:szCs w:val="28"/>
        </w:rPr>
        <w:t>(一) 物业基本概况</w:t>
      </w:r>
    </w:p>
    <w:p>
      <w:pPr>
        <w:spacing w:line="420" w:lineRule="exact"/>
        <w:ind w:firstLine="560" w:firstLineChars="200"/>
        <w:rPr>
          <w:rFonts w:hint="default"/>
          <w:sz w:val="28"/>
          <w:szCs w:val="28"/>
          <w:lang w:val="en-US" w:eastAsia="zh-CN"/>
        </w:rPr>
      </w:pPr>
      <w:r>
        <w:rPr>
          <w:rFonts w:hint="eastAsia"/>
          <w:sz w:val="28"/>
          <w:szCs w:val="28"/>
        </w:rPr>
        <w:t>该项目选址位于</w:t>
      </w:r>
      <w:r>
        <w:rPr>
          <w:rFonts w:hint="eastAsia"/>
          <w:sz w:val="28"/>
          <w:szCs w:val="28"/>
          <w:lang w:eastAsia="zh-CN"/>
        </w:rPr>
        <w:t>永嘉县东瓯街道五星村</w:t>
      </w:r>
      <w:r>
        <w:rPr>
          <w:rFonts w:hint="eastAsia"/>
          <w:sz w:val="28"/>
          <w:szCs w:val="28"/>
        </w:rPr>
        <w:t>，建设用地面积</w:t>
      </w:r>
      <w:r>
        <w:rPr>
          <w:rFonts w:hint="eastAsia"/>
          <w:sz w:val="28"/>
          <w:szCs w:val="28"/>
          <w:lang w:val="en-US" w:eastAsia="zh-CN"/>
        </w:rPr>
        <w:t>21945</w:t>
      </w:r>
      <w:r>
        <w:rPr>
          <w:rFonts w:hint="eastAsia"/>
          <w:sz w:val="28"/>
          <w:szCs w:val="28"/>
        </w:rPr>
        <w:t>㎡。总建筑面积</w:t>
      </w:r>
      <w:r>
        <w:rPr>
          <w:rFonts w:hint="eastAsia"/>
          <w:sz w:val="28"/>
          <w:szCs w:val="28"/>
          <w:lang w:val="en-US" w:eastAsia="zh-CN"/>
        </w:rPr>
        <w:t>70045.89</w:t>
      </w:r>
      <w:r>
        <w:rPr>
          <w:rFonts w:hint="eastAsia"/>
          <w:sz w:val="28"/>
          <w:szCs w:val="28"/>
        </w:rPr>
        <w:t>㎡，地上总建筑面积</w:t>
      </w:r>
      <w:r>
        <w:rPr>
          <w:rFonts w:hint="eastAsia"/>
          <w:sz w:val="28"/>
          <w:szCs w:val="28"/>
          <w:lang w:val="en-US" w:eastAsia="zh-CN"/>
        </w:rPr>
        <w:t>56793.42</w:t>
      </w:r>
      <w:r>
        <w:rPr>
          <w:rFonts w:hint="eastAsia"/>
          <w:sz w:val="28"/>
          <w:szCs w:val="28"/>
        </w:rPr>
        <w:t>㎡，</w:t>
      </w:r>
      <w:r>
        <w:rPr>
          <w:rFonts w:hint="eastAsia"/>
          <w:b/>
          <w:bCs/>
          <w:sz w:val="28"/>
          <w:szCs w:val="28"/>
          <w:lang w:val="en-US" w:eastAsia="zh-CN"/>
        </w:rPr>
        <w:t>住宅建筑面积50012.04㎡</w:t>
      </w:r>
      <w:r>
        <w:rPr>
          <w:rFonts w:hint="eastAsia"/>
          <w:sz w:val="28"/>
          <w:szCs w:val="28"/>
          <w:lang w:val="en-US" w:eastAsia="zh-CN"/>
        </w:rPr>
        <w:t>，</w:t>
      </w:r>
      <w:r>
        <w:rPr>
          <w:rFonts w:hint="eastAsia"/>
          <w:b/>
          <w:bCs/>
          <w:sz w:val="28"/>
          <w:szCs w:val="28"/>
          <w:lang w:val="en-US" w:eastAsia="zh-CN"/>
        </w:rPr>
        <w:t>商业建筑面积6027.03㎡</w:t>
      </w:r>
      <w:r>
        <w:rPr>
          <w:rFonts w:hint="eastAsia"/>
          <w:sz w:val="28"/>
          <w:szCs w:val="28"/>
          <w:lang w:val="en-US" w:eastAsia="zh-CN"/>
        </w:rPr>
        <w:t>,物业用房455㎡。地下建筑面积13252.47㎡，</w:t>
      </w:r>
      <w:r>
        <w:rPr>
          <w:rFonts w:hint="eastAsia"/>
          <w:sz w:val="28"/>
          <w:szCs w:val="28"/>
        </w:rPr>
        <w:t>另架空层</w:t>
      </w:r>
      <w:r>
        <w:rPr>
          <w:rFonts w:hint="eastAsia"/>
          <w:sz w:val="28"/>
          <w:szCs w:val="28"/>
          <w:lang w:val="en-US" w:eastAsia="zh-CN"/>
        </w:rPr>
        <w:t>449.82㎡。住宅总户数367户，容积率3.5，绿地率25%，总建筑密度25.54%，机动车停车位400辆（其中地下290辆，地上110辆）。</w:t>
      </w:r>
    </w:p>
    <w:p>
      <w:pPr>
        <w:spacing w:line="420" w:lineRule="exact"/>
        <w:rPr>
          <w:rFonts w:hint="eastAsia"/>
          <w:sz w:val="24"/>
        </w:rPr>
      </w:pPr>
      <w:r>
        <w:rPr>
          <w:rFonts w:hint="eastAsia"/>
          <w:sz w:val="24"/>
        </w:rPr>
        <w:t>附：1、主要技术经济指标</w:t>
      </w:r>
    </w:p>
    <w:tbl>
      <w:tblPr>
        <w:tblStyle w:val="14"/>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600"/>
        <w:gridCol w:w="1080"/>
        <w:gridCol w:w="2175"/>
        <w:gridCol w:w="1200"/>
        <w:gridCol w:w="3300"/>
      </w:tblGrid>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总用地面积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21945</w:t>
            </w:r>
          </w:p>
        </w:tc>
      </w:tr>
      <w:tr>
        <w:tblPrEx>
          <w:tblLayout w:type="fixed"/>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建设用地面积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16242</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道路用地面积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14.32</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河流用地面积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742.06</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绿化用地面积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4946.62</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总建筑面积（地上+地下）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70045.89</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地上建筑面积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56793.42</w:t>
            </w:r>
          </w:p>
        </w:tc>
      </w:tr>
      <w:tr>
        <w:tblPrEx>
          <w:tblLayout w:type="fixed"/>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住宅建筑面积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50012.04</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24453.06</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14723.1</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10835.88</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商业网点建筑面积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6027.03</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4769.55</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1257.48</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187.1</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商业网点专变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65.83</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物业用房（2#楼）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455</w:t>
            </w:r>
            <w:r>
              <w:rPr>
                <w:rFonts w:hint="eastAsia" w:ascii="宋体" w:hAnsi="宋体" w:cs="宋体"/>
                <w:i w:val="0"/>
                <w:iCs w:val="0"/>
                <w:color w:val="000000"/>
                <w:kern w:val="0"/>
                <w:sz w:val="24"/>
                <w:szCs w:val="24"/>
                <w:u w:val="none"/>
                <w:lang w:val="en-US" w:eastAsia="zh-CN" w:bidi="ar"/>
              </w:rPr>
              <w:t>.74</w:t>
            </w:r>
          </w:p>
        </w:tc>
      </w:tr>
      <w:tr>
        <w:tblPrEx>
          <w:tblLayout w:type="fixed"/>
        </w:tblPrEx>
        <w:trPr>
          <w:trHeight w:val="61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消控室（2#楼）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弱电机房（1#楼）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45.68</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地下建筑面积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13252.47</w:t>
            </w:r>
          </w:p>
        </w:tc>
      </w:tr>
      <w:tr>
        <w:tblPrEx>
          <w:tblLayout w:type="fixed"/>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人防建筑面积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4190.28</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非人防建筑面积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9062.19</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架空层面积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449.82</w:t>
            </w:r>
          </w:p>
        </w:tc>
      </w:tr>
      <w:tr>
        <w:tblPrEx>
          <w:tblLayout w:type="fixed"/>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131.37</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206.55</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机动车停车位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Layout w:type="fixed"/>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地面停车位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地下停车位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建筑占地面积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148.56</w:t>
            </w:r>
          </w:p>
        </w:tc>
      </w:tr>
      <w:tr>
        <w:tblPrEx>
          <w:tblLayout w:type="fixed"/>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1#楼、2#楼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3189.98</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771.48</w:t>
            </w:r>
          </w:p>
        </w:tc>
      </w:tr>
      <w:tr>
        <w:tblPrEx>
          <w:tblLayout w:type="fixed"/>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187.1</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建筑密度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25.54</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绿地面积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4061</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Layout w:type="fixed"/>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r>
    </w:tbl>
    <w:p>
      <w:pPr>
        <w:spacing w:line="420" w:lineRule="exact"/>
        <w:rPr>
          <w:rFonts w:hint="eastAsia"/>
          <w:sz w:val="24"/>
        </w:rPr>
      </w:pPr>
    </w:p>
    <w:p>
      <w:pPr>
        <w:spacing w:line="480" w:lineRule="exact"/>
        <w:ind w:firstLine="560" w:firstLineChars="200"/>
        <w:rPr>
          <w:rFonts w:hint="eastAsia"/>
          <w:sz w:val="28"/>
          <w:szCs w:val="28"/>
        </w:rPr>
      </w:pPr>
      <w:r>
        <w:rPr>
          <w:rFonts w:hint="eastAsia"/>
          <w:b/>
          <w:sz w:val="28"/>
          <w:szCs w:val="28"/>
        </w:rPr>
        <w:t>注：</w:t>
      </w:r>
      <w:r>
        <w:rPr>
          <w:rFonts w:hint="eastAsia"/>
          <w:sz w:val="28"/>
          <w:szCs w:val="28"/>
        </w:rPr>
        <w:t>停车库（位）配置、其他公建配套用房配置和公共设备、设施配置，详见附1主要技术经济指标。</w:t>
      </w:r>
    </w:p>
    <w:p>
      <w:pPr>
        <w:spacing w:line="480" w:lineRule="exact"/>
        <w:ind w:firstLine="560" w:firstLineChars="200"/>
        <w:rPr>
          <w:rFonts w:hint="eastAsia"/>
          <w:sz w:val="28"/>
          <w:szCs w:val="28"/>
        </w:rPr>
      </w:pPr>
      <w:r>
        <w:rPr>
          <w:rFonts w:hint="eastAsia"/>
          <w:sz w:val="28"/>
          <w:szCs w:val="28"/>
        </w:rPr>
        <w:t>（二）物业管理服务内容包括两个阶段：</w:t>
      </w:r>
    </w:p>
    <w:p>
      <w:pPr>
        <w:spacing w:line="480" w:lineRule="exact"/>
        <w:ind w:firstLine="560" w:firstLineChars="200"/>
        <w:rPr>
          <w:rFonts w:hint="eastAsia"/>
          <w:sz w:val="28"/>
          <w:szCs w:val="28"/>
        </w:rPr>
      </w:pPr>
      <w:r>
        <w:rPr>
          <w:rFonts w:hint="eastAsia"/>
          <w:sz w:val="28"/>
          <w:szCs w:val="28"/>
        </w:rPr>
        <w:t>一、前期物业管理介入阶段——从前期委托管理合同签订之日起至物业竣工交付日止。前期物业管理介入的目的是确保日后物业管理顺利进行、降低物业管理成本，使小区的设计和施工既符合规范又便利日后使用和管理。前期介入采取顾问形式，介入费用双方协商。</w:t>
      </w:r>
    </w:p>
    <w:p>
      <w:pPr>
        <w:spacing w:line="48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二、前期物业管理实施阶段——物业竣工交付后至业主大会选聘物业企业并签订合同生效止。前期物业管理实施阶段服务内容：</w:t>
      </w:r>
      <w:r>
        <w:rPr>
          <w:rFonts w:hint="eastAsia" w:cs="Times New Roman"/>
          <w:sz w:val="28"/>
          <w:szCs w:val="28"/>
          <w:lang w:eastAsia="zh-CN"/>
        </w:rPr>
        <w:t>星悦家园</w:t>
      </w:r>
      <w:r>
        <w:rPr>
          <w:rFonts w:hint="eastAsia" w:ascii="Times New Roman" w:hAnsi="Times New Roman" w:eastAsia="宋体" w:cs="Times New Roman"/>
          <w:sz w:val="28"/>
          <w:szCs w:val="28"/>
        </w:rPr>
        <w:t>地块前期物业管理服务质量标准（见附件三）。</w:t>
      </w:r>
    </w:p>
    <w:p>
      <w:pPr>
        <w:spacing w:line="460" w:lineRule="exact"/>
        <w:jc w:val="center"/>
        <w:rPr>
          <w:rFonts w:hint="eastAsia" w:eastAsia="华文中宋"/>
          <w:b/>
          <w:bCs/>
          <w:sz w:val="30"/>
          <w:szCs w:val="30"/>
        </w:rPr>
      </w:pPr>
      <w:r>
        <w:rPr>
          <w:rFonts w:hint="eastAsia" w:eastAsia="华文中宋"/>
          <w:b/>
          <w:bCs/>
          <w:sz w:val="30"/>
          <w:szCs w:val="30"/>
        </w:rPr>
        <w:t>第</w:t>
      </w:r>
      <w:r>
        <w:rPr>
          <w:rFonts w:hint="eastAsia" w:eastAsia="华文中宋"/>
          <w:b/>
          <w:bCs/>
          <w:sz w:val="32"/>
          <w:szCs w:val="32"/>
        </w:rPr>
        <w:t>二章  综合说明</w:t>
      </w:r>
    </w:p>
    <w:p>
      <w:pPr>
        <w:spacing w:line="460" w:lineRule="exact"/>
        <w:jc w:val="center"/>
        <w:rPr>
          <w:rFonts w:hint="eastAsia"/>
          <w:b/>
          <w:sz w:val="30"/>
          <w:szCs w:val="30"/>
        </w:rPr>
      </w:pPr>
      <w:r>
        <w:rPr>
          <w:rFonts w:hint="eastAsia"/>
          <w:b/>
          <w:sz w:val="30"/>
          <w:szCs w:val="30"/>
        </w:rPr>
        <w:t>一、总    则</w:t>
      </w:r>
    </w:p>
    <w:p>
      <w:pPr>
        <w:spacing w:line="460" w:lineRule="exact"/>
        <w:ind w:firstLine="560" w:firstLineChars="200"/>
        <w:rPr>
          <w:rFonts w:hint="eastAsia"/>
          <w:sz w:val="28"/>
          <w:szCs w:val="28"/>
        </w:rPr>
      </w:pPr>
      <w:r>
        <w:rPr>
          <w:rFonts w:hint="eastAsia"/>
          <w:sz w:val="28"/>
          <w:szCs w:val="28"/>
        </w:rPr>
        <w:t>（一）本物业招投标按照《中华人民共和国招标投标法》、《前期物业管理招标投标管理暂行办法》、《温州市物业管理项目招标投标办法》执行。经永嘉县住房与城乡建设局备案，通过</w:t>
      </w:r>
      <w:r>
        <w:rPr>
          <w:rFonts w:hint="eastAsia"/>
          <w:sz w:val="28"/>
          <w:szCs w:val="28"/>
          <w:u w:val="single"/>
        </w:rPr>
        <w:t xml:space="preserve"> </w:t>
      </w:r>
      <w:r>
        <w:rPr>
          <w:rFonts w:hint="eastAsia"/>
          <w:sz w:val="28"/>
          <w:szCs w:val="28"/>
          <w:u w:val="single"/>
          <w:lang w:val="en-US" w:eastAsia="zh-CN"/>
        </w:rPr>
        <w:t>公开</w:t>
      </w:r>
      <w:r>
        <w:rPr>
          <w:rFonts w:hint="eastAsia"/>
          <w:sz w:val="28"/>
          <w:szCs w:val="28"/>
          <w:u w:val="single"/>
        </w:rPr>
        <w:t xml:space="preserve"> </w:t>
      </w:r>
      <w:r>
        <w:rPr>
          <w:rFonts w:hint="eastAsia"/>
          <w:sz w:val="28"/>
          <w:szCs w:val="28"/>
        </w:rPr>
        <w:t>招标方式择优选定物业管理单位。</w:t>
      </w:r>
    </w:p>
    <w:p>
      <w:pPr>
        <w:spacing w:line="460" w:lineRule="exact"/>
        <w:ind w:firstLine="560" w:firstLineChars="200"/>
        <w:rPr>
          <w:rFonts w:hint="eastAsia"/>
          <w:sz w:val="28"/>
          <w:szCs w:val="28"/>
        </w:rPr>
      </w:pPr>
      <w:r>
        <w:rPr>
          <w:rFonts w:hint="eastAsia"/>
          <w:sz w:val="28"/>
          <w:szCs w:val="28"/>
        </w:rPr>
        <w:t>（二）物业管理招标原则</w:t>
      </w:r>
    </w:p>
    <w:p>
      <w:pPr>
        <w:spacing w:line="460" w:lineRule="exact"/>
        <w:ind w:firstLine="560" w:firstLineChars="200"/>
        <w:rPr>
          <w:rFonts w:hint="eastAsia"/>
          <w:sz w:val="28"/>
          <w:szCs w:val="28"/>
        </w:rPr>
      </w:pPr>
      <w:r>
        <w:rPr>
          <w:rFonts w:hint="eastAsia"/>
          <w:sz w:val="28"/>
          <w:szCs w:val="28"/>
        </w:rPr>
        <w:t>本物业管理的招标、评标工作按照“公平、公开、公正、合理、诚实、信用”的原则，按招标人制定的《物业管理项目招标评标办法》进行。</w:t>
      </w:r>
    </w:p>
    <w:p>
      <w:pPr>
        <w:spacing w:line="460" w:lineRule="exact"/>
        <w:ind w:firstLine="560" w:firstLineChars="200"/>
        <w:rPr>
          <w:rFonts w:hint="eastAsia"/>
          <w:sz w:val="28"/>
          <w:szCs w:val="28"/>
        </w:rPr>
      </w:pPr>
      <w:r>
        <w:rPr>
          <w:rFonts w:hint="eastAsia"/>
          <w:sz w:val="28"/>
          <w:szCs w:val="28"/>
        </w:rPr>
        <w:t>（三）投标单位资格条件</w:t>
      </w:r>
    </w:p>
    <w:p>
      <w:pPr>
        <w:spacing w:line="460" w:lineRule="exact"/>
        <w:ind w:firstLine="560" w:firstLineChars="200"/>
        <w:rPr>
          <w:rFonts w:hint="eastAsia"/>
          <w:sz w:val="28"/>
          <w:szCs w:val="28"/>
        </w:rPr>
      </w:pPr>
      <w:r>
        <w:rPr>
          <w:rFonts w:hint="eastAsia"/>
          <w:sz w:val="28"/>
          <w:szCs w:val="28"/>
        </w:rPr>
        <w:t>1、参加投标的物业管理单位必须是具有独立法人资格的物业管理企业。</w:t>
      </w:r>
    </w:p>
    <w:p>
      <w:pPr>
        <w:spacing w:line="460" w:lineRule="exact"/>
        <w:ind w:firstLine="560" w:firstLineChars="200"/>
        <w:rPr>
          <w:rFonts w:hint="eastAsia"/>
          <w:sz w:val="28"/>
          <w:szCs w:val="28"/>
        </w:rPr>
      </w:pPr>
      <w:r>
        <w:rPr>
          <w:rFonts w:hint="eastAsia"/>
          <w:sz w:val="28"/>
          <w:szCs w:val="28"/>
        </w:rPr>
        <w:t>2、参加投标的物业管理单位必须具有被授予合同的资格。投标单位应在投标资格审查时提供使招标人满意的资格文件，以证明其符合投标条件和具有履行合同的能力。所提交的资格文件中应包括下列资料：</w:t>
      </w:r>
    </w:p>
    <w:p>
      <w:pPr>
        <w:spacing w:line="460" w:lineRule="exact"/>
        <w:ind w:firstLine="560" w:firstLineChars="200"/>
        <w:rPr>
          <w:rFonts w:hint="eastAsia"/>
          <w:sz w:val="28"/>
          <w:szCs w:val="28"/>
        </w:rPr>
      </w:pPr>
      <w:r>
        <w:rPr>
          <w:rFonts w:hint="eastAsia"/>
          <w:sz w:val="28"/>
          <w:szCs w:val="28"/>
        </w:rPr>
        <w:t>有关确立投标单位法律地位的原始文件副本（包括营业执照）等。</w:t>
      </w:r>
    </w:p>
    <w:p>
      <w:pPr>
        <w:spacing w:line="460" w:lineRule="exact"/>
        <w:ind w:firstLine="560" w:firstLineChars="200"/>
        <w:rPr>
          <w:rFonts w:hint="eastAsia"/>
          <w:b/>
          <w:bCs/>
          <w:sz w:val="30"/>
          <w:szCs w:val="30"/>
        </w:rPr>
      </w:pPr>
      <w:r>
        <w:rPr>
          <w:rFonts w:hint="eastAsia"/>
          <w:sz w:val="28"/>
          <w:szCs w:val="28"/>
        </w:rPr>
        <w:t>（四）投标单位应承担其编制投标文件与递交投标文件所涉及的一切费用。不管投标结果如何，招标人对上述费用不负任何责任。</w:t>
      </w:r>
    </w:p>
    <w:p>
      <w:pPr>
        <w:spacing w:line="460" w:lineRule="exact"/>
        <w:jc w:val="center"/>
        <w:rPr>
          <w:rFonts w:hint="eastAsia"/>
          <w:b/>
          <w:bCs/>
          <w:sz w:val="30"/>
          <w:szCs w:val="30"/>
        </w:rPr>
      </w:pPr>
      <w:r>
        <w:rPr>
          <w:rFonts w:hint="eastAsia"/>
          <w:b/>
          <w:bCs/>
          <w:sz w:val="30"/>
          <w:szCs w:val="30"/>
        </w:rPr>
        <w:t>二、招 标 文 件</w:t>
      </w:r>
    </w:p>
    <w:p>
      <w:pPr>
        <w:spacing w:line="460" w:lineRule="exact"/>
        <w:ind w:firstLine="560" w:firstLineChars="200"/>
        <w:rPr>
          <w:rFonts w:hint="eastAsia"/>
          <w:sz w:val="28"/>
          <w:szCs w:val="28"/>
        </w:rPr>
      </w:pPr>
      <w:r>
        <w:rPr>
          <w:rFonts w:hint="eastAsia"/>
          <w:sz w:val="28"/>
          <w:szCs w:val="28"/>
        </w:rPr>
        <w:t>（五）招标文件的组成</w:t>
      </w:r>
    </w:p>
    <w:p>
      <w:pPr>
        <w:spacing w:line="460" w:lineRule="exact"/>
        <w:ind w:firstLine="560" w:firstLineChars="200"/>
        <w:rPr>
          <w:rFonts w:hint="eastAsia"/>
          <w:sz w:val="28"/>
          <w:szCs w:val="28"/>
        </w:rPr>
      </w:pPr>
      <w:r>
        <w:rPr>
          <w:rFonts w:hint="eastAsia"/>
          <w:sz w:val="28"/>
          <w:szCs w:val="28"/>
        </w:rPr>
        <w:t>1、招标文件包括本文件以及根据具体情况的变化发出的补充通知和招标答疑会议记录。</w:t>
      </w:r>
    </w:p>
    <w:p>
      <w:pPr>
        <w:spacing w:line="460" w:lineRule="exact"/>
        <w:ind w:firstLine="560" w:firstLineChars="200"/>
        <w:rPr>
          <w:rFonts w:hint="eastAsia"/>
          <w:b/>
          <w:sz w:val="28"/>
          <w:szCs w:val="28"/>
        </w:rPr>
      </w:pPr>
      <w:r>
        <w:rPr>
          <w:rFonts w:hint="eastAsia"/>
          <w:sz w:val="28"/>
        </w:rPr>
        <w:t>2、根据本物业的特点，</w:t>
      </w:r>
      <w:r>
        <w:rPr>
          <w:rFonts w:hint="eastAsia"/>
          <w:color w:val="FF0000"/>
          <w:sz w:val="28"/>
        </w:rPr>
        <w:t>物业管理费采取</w:t>
      </w:r>
      <w:r>
        <w:rPr>
          <w:rFonts w:hint="eastAsia"/>
          <w:color w:val="FF0000"/>
          <w:sz w:val="28"/>
          <w:lang w:val="en-US" w:eastAsia="zh-CN"/>
        </w:rPr>
        <w:t>招</w:t>
      </w:r>
      <w:r>
        <w:rPr>
          <w:rFonts w:hint="eastAsia"/>
          <w:color w:val="FF0000"/>
          <w:sz w:val="28"/>
        </w:rPr>
        <w:t>标单位报价方式，由各投标单位根据本项目物业管理内容及标准要求进行测算报价，并附有详细的计算公式及计算依据，中标单位</w:t>
      </w:r>
      <w:r>
        <w:rPr>
          <w:rFonts w:hint="eastAsia"/>
          <w:color w:val="FF0000"/>
          <w:sz w:val="28"/>
          <w:szCs w:val="28"/>
        </w:rPr>
        <w:t>按最后中标价</w:t>
      </w:r>
      <w:r>
        <w:rPr>
          <w:rFonts w:hint="eastAsia"/>
          <w:color w:val="FF0000"/>
          <w:sz w:val="28"/>
        </w:rPr>
        <w:t>的服务收费标准组织物业管理，自负盈亏。</w:t>
      </w:r>
    </w:p>
    <w:p>
      <w:pPr>
        <w:spacing w:line="460" w:lineRule="exact"/>
        <w:ind w:firstLine="560" w:firstLineChars="200"/>
        <w:rPr>
          <w:rFonts w:hint="eastAsia"/>
          <w:sz w:val="28"/>
          <w:szCs w:val="28"/>
        </w:rPr>
      </w:pPr>
      <w:r>
        <w:rPr>
          <w:rFonts w:hint="eastAsia"/>
          <w:sz w:val="28"/>
          <w:szCs w:val="28"/>
        </w:rPr>
        <w:t>3、投标单位应认真审阅招标文件所有的内容，如果投标单位的投标文件不能符合招标文件要求，责任由投标单位自负。</w:t>
      </w:r>
    </w:p>
    <w:p>
      <w:pPr>
        <w:spacing w:line="460" w:lineRule="exact"/>
        <w:ind w:firstLine="560" w:firstLineChars="200"/>
        <w:rPr>
          <w:rFonts w:hint="eastAsia"/>
          <w:sz w:val="28"/>
          <w:szCs w:val="28"/>
        </w:rPr>
      </w:pPr>
      <w:r>
        <w:rPr>
          <w:rFonts w:hint="eastAsia"/>
          <w:sz w:val="28"/>
          <w:szCs w:val="28"/>
        </w:rPr>
        <w:t>（六）招标文件的解释</w:t>
      </w:r>
    </w:p>
    <w:p>
      <w:pPr>
        <w:spacing w:line="460" w:lineRule="exact"/>
        <w:ind w:firstLine="560" w:firstLineChars="200"/>
        <w:rPr>
          <w:rFonts w:hint="eastAsia"/>
          <w:sz w:val="28"/>
          <w:szCs w:val="28"/>
        </w:rPr>
      </w:pPr>
      <w:r>
        <w:rPr>
          <w:rFonts w:hint="eastAsia"/>
          <w:sz w:val="28"/>
          <w:szCs w:val="28"/>
        </w:rPr>
        <w:t>投标单位在收到招标文件后，若有疑问需要澄清，应于收到招标文件后五日内以书面形式向招标人提出，招标人在招标答疑会后以书面形式将答复发放至所有投标单位。</w:t>
      </w:r>
    </w:p>
    <w:p>
      <w:pPr>
        <w:spacing w:line="460" w:lineRule="exact"/>
        <w:ind w:firstLine="560" w:firstLineChars="200"/>
        <w:rPr>
          <w:rFonts w:hint="eastAsia"/>
          <w:sz w:val="28"/>
          <w:szCs w:val="28"/>
        </w:rPr>
      </w:pPr>
      <w:r>
        <w:rPr>
          <w:rFonts w:hint="eastAsia"/>
          <w:sz w:val="28"/>
          <w:szCs w:val="28"/>
        </w:rPr>
        <w:t>（七）招标文件的修改</w:t>
      </w:r>
    </w:p>
    <w:p>
      <w:pPr>
        <w:spacing w:line="460" w:lineRule="exact"/>
        <w:ind w:firstLine="560" w:firstLineChars="200"/>
        <w:rPr>
          <w:rFonts w:hint="eastAsia"/>
          <w:sz w:val="28"/>
          <w:szCs w:val="28"/>
        </w:rPr>
      </w:pPr>
      <w:r>
        <w:rPr>
          <w:rFonts w:hint="eastAsia"/>
          <w:sz w:val="28"/>
          <w:szCs w:val="28"/>
        </w:rPr>
        <w:t>1、在投标截止日期至少15天前，招标人可以补充通知的方式修改招标文件。</w:t>
      </w:r>
    </w:p>
    <w:p>
      <w:pPr>
        <w:spacing w:line="460" w:lineRule="exact"/>
        <w:ind w:firstLine="560" w:firstLineChars="200"/>
        <w:rPr>
          <w:rFonts w:hint="eastAsia"/>
          <w:sz w:val="28"/>
          <w:szCs w:val="28"/>
        </w:rPr>
      </w:pPr>
      <w:r>
        <w:rPr>
          <w:rFonts w:hint="eastAsia"/>
          <w:sz w:val="28"/>
          <w:szCs w:val="28"/>
        </w:rPr>
        <w:t>2、补充通知应报永嘉县住房与城乡建设局备案。</w:t>
      </w:r>
    </w:p>
    <w:p>
      <w:pPr>
        <w:spacing w:line="460" w:lineRule="exact"/>
        <w:ind w:firstLine="560" w:firstLineChars="200"/>
        <w:rPr>
          <w:rFonts w:hint="eastAsia"/>
          <w:sz w:val="28"/>
          <w:szCs w:val="28"/>
        </w:rPr>
      </w:pPr>
      <w:r>
        <w:rPr>
          <w:rFonts w:hint="eastAsia"/>
          <w:sz w:val="28"/>
          <w:szCs w:val="28"/>
        </w:rPr>
        <w:t>3、补充通知将以书面方式发给各投标单位，补充通知作为招标文件的组成部分，对投标单位起同等约束作用。</w:t>
      </w:r>
    </w:p>
    <w:p>
      <w:pPr>
        <w:spacing w:line="460" w:lineRule="exact"/>
        <w:ind w:firstLine="560" w:firstLineChars="200"/>
        <w:rPr>
          <w:rFonts w:hint="eastAsia"/>
          <w:sz w:val="24"/>
        </w:rPr>
      </w:pPr>
      <w:r>
        <w:rPr>
          <w:rFonts w:hint="eastAsia"/>
          <w:sz w:val="28"/>
          <w:szCs w:val="28"/>
        </w:rPr>
        <w:t>4、为使投标单位在编制投标文件时把补充通知内容考虑进去，招标人可以酌情延长递交投标文件的截止日期。具体时间将在补充通知中写明</w:t>
      </w:r>
      <w:r>
        <w:rPr>
          <w:rFonts w:hint="eastAsia"/>
          <w:sz w:val="24"/>
        </w:rPr>
        <w:t>。</w:t>
      </w:r>
    </w:p>
    <w:p>
      <w:pPr>
        <w:spacing w:line="460" w:lineRule="exact"/>
        <w:ind w:firstLine="630"/>
        <w:jc w:val="center"/>
        <w:rPr>
          <w:rFonts w:hint="eastAsia"/>
          <w:b/>
          <w:bCs/>
          <w:sz w:val="30"/>
          <w:szCs w:val="30"/>
        </w:rPr>
      </w:pPr>
      <w:r>
        <w:rPr>
          <w:rFonts w:hint="eastAsia"/>
          <w:b/>
          <w:bCs/>
          <w:sz w:val="30"/>
          <w:szCs w:val="30"/>
        </w:rPr>
        <w:t>三、投标文件内容及编制要求</w:t>
      </w:r>
    </w:p>
    <w:p>
      <w:pPr>
        <w:spacing w:line="460" w:lineRule="exact"/>
        <w:ind w:firstLine="560" w:firstLineChars="200"/>
        <w:rPr>
          <w:rFonts w:hint="eastAsia"/>
          <w:sz w:val="28"/>
          <w:szCs w:val="28"/>
        </w:rPr>
      </w:pPr>
      <w:r>
        <w:rPr>
          <w:rFonts w:hint="eastAsia"/>
          <w:sz w:val="28"/>
          <w:szCs w:val="28"/>
        </w:rPr>
        <w:t>（八）投标文件的组成</w:t>
      </w:r>
    </w:p>
    <w:p>
      <w:pPr>
        <w:spacing w:line="460" w:lineRule="exact"/>
        <w:ind w:firstLine="560" w:firstLineChars="200"/>
        <w:rPr>
          <w:rFonts w:hint="eastAsia"/>
          <w:sz w:val="28"/>
          <w:szCs w:val="28"/>
        </w:rPr>
      </w:pPr>
      <w:r>
        <w:rPr>
          <w:rFonts w:hint="eastAsia"/>
          <w:sz w:val="28"/>
          <w:szCs w:val="28"/>
        </w:rPr>
        <w:t>投标单位的投标文件应包括信誉标、技术标。要求编制内容重点突出，避免抄袭，不得浮夸，弄虚作假。信誉标、技术标中的承诺，中标后必须到位。</w:t>
      </w:r>
    </w:p>
    <w:p>
      <w:pPr>
        <w:spacing w:line="460" w:lineRule="exact"/>
        <w:ind w:firstLine="560" w:firstLineChars="200"/>
        <w:rPr>
          <w:rFonts w:hint="eastAsia"/>
          <w:sz w:val="28"/>
          <w:szCs w:val="28"/>
        </w:rPr>
      </w:pPr>
      <w:r>
        <w:rPr>
          <w:rFonts w:hint="eastAsia"/>
          <w:sz w:val="28"/>
          <w:szCs w:val="28"/>
        </w:rPr>
        <w:t>信誉标、技术标</w:t>
      </w:r>
      <w:r>
        <w:rPr>
          <w:rFonts w:hint="eastAsia"/>
          <w:sz w:val="28"/>
          <w:szCs w:val="28"/>
          <w:lang w:eastAsia="zh-CN"/>
        </w:rPr>
        <w:t>、</w:t>
      </w:r>
      <w:r>
        <w:rPr>
          <w:rFonts w:hint="eastAsia"/>
          <w:sz w:val="28"/>
          <w:szCs w:val="28"/>
          <w:lang w:val="en-US" w:eastAsia="zh-CN"/>
        </w:rPr>
        <w:t>商务标</w:t>
      </w:r>
      <w:r>
        <w:rPr>
          <w:rFonts w:hint="eastAsia"/>
          <w:sz w:val="28"/>
          <w:szCs w:val="28"/>
        </w:rPr>
        <w:t>主要内容：</w:t>
      </w:r>
    </w:p>
    <w:p>
      <w:pPr>
        <w:spacing w:line="460" w:lineRule="exact"/>
        <w:ind w:firstLine="560" w:firstLineChars="200"/>
        <w:rPr>
          <w:rFonts w:hint="eastAsia"/>
          <w:sz w:val="28"/>
          <w:szCs w:val="28"/>
        </w:rPr>
      </w:pPr>
      <w:r>
        <w:rPr>
          <w:rFonts w:hint="eastAsia"/>
          <w:sz w:val="28"/>
          <w:szCs w:val="28"/>
        </w:rPr>
        <w:t>1、信誉标：包括投标履行承诺书</w:t>
      </w:r>
      <w:r>
        <w:rPr>
          <w:sz w:val="28"/>
          <w:szCs w:val="28"/>
        </w:rPr>
        <w:t>(</w:t>
      </w:r>
      <w:r>
        <w:rPr>
          <w:rFonts w:hint="eastAsia"/>
          <w:sz w:val="28"/>
          <w:szCs w:val="28"/>
        </w:rPr>
        <w:t>附件二</w:t>
      </w:r>
      <w:r>
        <w:rPr>
          <w:sz w:val="28"/>
          <w:szCs w:val="28"/>
        </w:rPr>
        <w:t>)</w:t>
      </w:r>
      <w:r>
        <w:rPr>
          <w:rFonts w:hint="eastAsia"/>
          <w:sz w:val="28"/>
          <w:szCs w:val="28"/>
        </w:rPr>
        <w:t>、企业规模、综合技术实力和社会信誉、企业经营业绩及创优获奖情况、管理投标项目负责人业绩及业务能力等情况，并提交企业自评分（附件四）。</w:t>
      </w:r>
    </w:p>
    <w:p>
      <w:pPr>
        <w:spacing w:line="460" w:lineRule="exact"/>
        <w:ind w:firstLine="560" w:firstLineChars="200"/>
        <w:rPr>
          <w:rFonts w:hint="eastAsia"/>
          <w:sz w:val="28"/>
          <w:szCs w:val="28"/>
        </w:rPr>
      </w:pPr>
      <w:r>
        <w:rPr>
          <w:rFonts w:hint="eastAsia"/>
          <w:sz w:val="28"/>
          <w:szCs w:val="28"/>
        </w:rPr>
        <w:t>2、技术标具体内容包括：</w:t>
      </w:r>
    </w:p>
    <w:p>
      <w:pPr>
        <w:spacing w:line="460" w:lineRule="exact"/>
        <w:ind w:firstLine="560" w:firstLineChars="200"/>
        <w:rPr>
          <w:rFonts w:hint="eastAsia"/>
          <w:sz w:val="28"/>
          <w:szCs w:val="28"/>
        </w:rPr>
      </w:pPr>
      <w:r>
        <w:rPr>
          <w:rFonts w:hint="eastAsia"/>
          <w:sz w:val="28"/>
          <w:szCs w:val="28"/>
        </w:rPr>
        <w:t>⑴前期物业管理介入阶段的人员配备及介入方案；</w:t>
      </w:r>
    </w:p>
    <w:p>
      <w:pPr>
        <w:spacing w:line="460" w:lineRule="exact"/>
        <w:ind w:firstLine="560" w:firstLineChars="200"/>
        <w:rPr>
          <w:rFonts w:hint="eastAsia"/>
          <w:sz w:val="28"/>
          <w:szCs w:val="28"/>
        </w:rPr>
      </w:pPr>
      <w:r>
        <w:rPr>
          <w:rFonts w:hint="eastAsia"/>
          <w:sz w:val="28"/>
          <w:szCs w:val="28"/>
        </w:rPr>
        <w:t>专业人员配备及工作流程；</w:t>
      </w:r>
    </w:p>
    <w:p>
      <w:pPr>
        <w:spacing w:line="460" w:lineRule="exact"/>
        <w:ind w:firstLine="560" w:firstLineChars="200"/>
        <w:rPr>
          <w:rFonts w:hint="eastAsia"/>
          <w:sz w:val="28"/>
          <w:szCs w:val="28"/>
        </w:rPr>
      </w:pPr>
      <w:r>
        <w:rPr>
          <w:rFonts w:hint="eastAsia"/>
          <w:sz w:val="28"/>
          <w:szCs w:val="28"/>
        </w:rPr>
        <w:t>介入的实施方案。</w:t>
      </w:r>
    </w:p>
    <w:p>
      <w:pPr>
        <w:spacing w:line="460" w:lineRule="exact"/>
        <w:ind w:firstLine="560" w:firstLineChars="200"/>
        <w:rPr>
          <w:sz w:val="28"/>
          <w:szCs w:val="28"/>
        </w:rPr>
      </w:pPr>
      <w:r>
        <w:rPr>
          <w:rFonts w:hint="eastAsia"/>
          <w:sz w:val="28"/>
          <w:szCs w:val="28"/>
        </w:rPr>
        <w:t>⑵物业管理机构设置及资源配置：</w:t>
      </w:r>
    </w:p>
    <w:p>
      <w:pPr>
        <w:spacing w:line="460" w:lineRule="exact"/>
        <w:ind w:firstLine="560" w:firstLineChars="200"/>
        <w:rPr>
          <w:sz w:val="28"/>
          <w:szCs w:val="28"/>
        </w:rPr>
      </w:pPr>
      <w:r>
        <w:rPr>
          <w:rFonts w:hint="eastAsia"/>
          <w:sz w:val="28"/>
          <w:szCs w:val="28"/>
        </w:rPr>
        <w:t>制订管理架构及公司督导的模式；</w:t>
      </w:r>
    </w:p>
    <w:p>
      <w:pPr>
        <w:spacing w:line="460" w:lineRule="exact"/>
        <w:ind w:firstLine="560" w:firstLineChars="200"/>
        <w:rPr>
          <w:sz w:val="28"/>
          <w:szCs w:val="28"/>
        </w:rPr>
      </w:pPr>
      <w:r>
        <w:rPr>
          <w:rFonts w:hint="eastAsia"/>
          <w:sz w:val="28"/>
          <w:szCs w:val="28"/>
        </w:rPr>
        <w:t>制订岗位职责，提供专业人员配备及素质要求；</w:t>
      </w:r>
    </w:p>
    <w:p>
      <w:pPr>
        <w:spacing w:line="460" w:lineRule="exact"/>
        <w:ind w:firstLine="560" w:firstLineChars="200"/>
        <w:rPr>
          <w:sz w:val="28"/>
          <w:szCs w:val="28"/>
        </w:rPr>
      </w:pPr>
      <w:r>
        <w:rPr>
          <w:rFonts w:hint="eastAsia"/>
          <w:sz w:val="28"/>
          <w:szCs w:val="28"/>
        </w:rPr>
        <w:t>制订对外协调机制和内部服务反应机制。</w:t>
      </w:r>
    </w:p>
    <w:p>
      <w:pPr>
        <w:spacing w:line="460" w:lineRule="exact"/>
        <w:ind w:firstLine="560" w:firstLineChars="200"/>
        <w:rPr>
          <w:sz w:val="28"/>
          <w:szCs w:val="28"/>
        </w:rPr>
      </w:pPr>
      <w:r>
        <w:rPr>
          <w:rFonts w:hint="eastAsia"/>
          <w:sz w:val="28"/>
          <w:szCs w:val="28"/>
        </w:rPr>
        <w:t>⑶实际操作管理方案：</w:t>
      </w:r>
    </w:p>
    <w:p>
      <w:pPr>
        <w:spacing w:line="460" w:lineRule="exact"/>
        <w:ind w:firstLine="560" w:firstLineChars="200"/>
        <w:rPr>
          <w:sz w:val="28"/>
          <w:szCs w:val="28"/>
        </w:rPr>
      </w:pPr>
      <w:r>
        <w:rPr>
          <w:rFonts w:hint="eastAsia"/>
          <w:sz w:val="28"/>
          <w:szCs w:val="28"/>
        </w:rPr>
        <w:t>制订房屋接管验收和返修跟踪的方案及措施；</w:t>
      </w:r>
    </w:p>
    <w:p>
      <w:pPr>
        <w:spacing w:line="460" w:lineRule="exact"/>
        <w:ind w:firstLine="560" w:firstLineChars="200"/>
        <w:rPr>
          <w:sz w:val="28"/>
          <w:szCs w:val="28"/>
        </w:rPr>
      </w:pPr>
      <w:r>
        <w:rPr>
          <w:rFonts w:hint="eastAsia"/>
          <w:sz w:val="28"/>
          <w:szCs w:val="28"/>
        </w:rPr>
        <w:t>制订二次装修的管理、维护及保洁的方案；</w:t>
      </w:r>
    </w:p>
    <w:p>
      <w:pPr>
        <w:spacing w:line="460" w:lineRule="exact"/>
        <w:ind w:firstLine="560" w:firstLineChars="200"/>
        <w:rPr>
          <w:sz w:val="28"/>
          <w:szCs w:val="28"/>
        </w:rPr>
      </w:pPr>
      <w:r>
        <w:rPr>
          <w:rFonts w:hint="eastAsia"/>
          <w:sz w:val="28"/>
          <w:szCs w:val="28"/>
        </w:rPr>
        <w:t>制订共用设备设施及房屋的保养维护的方案及措施(含水体的维护)；</w:t>
      </w:r>
    </w:p>
    <w:p>
      <w:pPr>
        <w:spacing w:line="460" w:lineRule="exact"/>
        <w:ind w:firstLine="560" w:firstLineChars="200"/>
        <w:rPr>
          <w:rFonts w:hint="eastAsia"/>
          <w:sz w:val="28"/>
          <w:szCs w:val="28"/>
        </w:rPr>
      </w:pPr>
      <w:r>
        <w:rPr>
          <w:rFonts w:hint="eastAsia"/>
          <w:sz w:val="28"/>
          <w:szCs w:val="28"/>
        </w:rPr>
        <w:t>制订环境、绿化的管理方案及措施；</w:t>
      </w:r>
    </w:p>
    <w:p>
      <w:pPr>
        <w:spacing w:line="460" w:lineRule="exact"/>
        <w:ind w:firstLine="560" w:firstLineChars="200"/>
        <w:rPr>
          <w:rFonts w:hint="eastAsia"/>
          <w:sz w:val="28"/>
          <w:szCs w:val="28"/>
        </w:rPr>
      </w:pPr>
      <w:r>
        <w:rPr>
          <w:rFonts w:hint="eastAsia"/>
          <w:sz w:val="28"/>
          <w:szCs w:val="28"/>
        </w:rPr>
        <w:t>制订车辆管理的方案及措施；</w:t>
      </w:r>
    </w:p>
    <w:p>
      <w:pPr>
        <w:spacing w:line="460" w:lineRule="exact"/>
        <w:ind w:firstLine="560" w:firstLineChars="200"/>
        <w:rPr>
          <w:rFonts w:hint="eastAsia"/>
          <w:sz w:val="28"/>
          <w:szCs w:val="28"/>
        </w:rPr>
      </w:pPr>
      <w:r>
        <w:rPr>
          <w:rFonts w:hint="eastAsia"/>
          <w:sz w:val="28"/>
          <w:szCs w:val="28"/>
        </w:rPr>
        <w:t>制订安保、消防管理的方案及措施；</w:t>
      </w:r>
    </w:p>
    <w:p>
      <w:pPr>
        <w:spacing w:line="460" w:lineRule="exact"/>
        <w:ind w:firstLine="560" w:firstLineChars="200"/>
        <w:rPr>
          <w:rFonts w:hint="eastAsia"/>
          <w:sz w:val="28"/>
          <w:szCs w:val="28"/>
        </w:rPr>
      </w:pPr>
      <w:r>
        <w:rPr>
          <w:rFonts w:hint="eastAsia"/>
          <w:sz w:val="28"/>
          <w:szCs w:val="28"/>
        </w:rPr>
        <w:t>制订经费收支预算方案及节能措施，并提供报价；</w:t>
      </w:r>
    </w:p>
    <w:p>
      <w:pPr>
        <w:spacing w:line="460" w:lineRule="exact"/>
        <w:ind w:firstLine="560" w:firstLineChars="200"/>
        <w:rPr>
          <w:rFonts w:hint="eastAsia"/>
          <w:sz w:val="28"/>
          <w:szCs w:val="28"/>
        </w:rPr>
      </w:pPr>
      <w:r>
        <w:rPr>
          <w:rFonts w:hint="eastAsia"/>
          <w:sz w:val="28"/>
          <w:szCs w:val="28"/>
        </w:rPr>
        <w:t>制订社区文化、精神文明建设管理方案及特约服务；</w:t>
      </w:r>
    </w:p>
    <w:p>
      <w:pPr>
        <w:spacing w:line="460" w:lineRule="exact"/>
        <w:ind w:firstLine="560" w:firstLineChars="200"/>
        <w:rPr>
          <w:rFonts w:hint="eastAsia"/>
          <w:sz w:val="28"/>
          <w:szCs w:val="28"/>
        </w:rPr>
      </w:pPr>
      <w:r>
        <w:rPr>
          <w:rFonts w:hint="eastAsia"/>
          <w:sz w:val="28"/>
          <w:szCs w:val="28"/>
        </w:rPr>
        <w:t>制订各项管理应急方案；</w:t>
      </w:r>
    </w:p>
    <w:p>
      <w:pPr>
        <w:spacing w:line="460" w:lineRule="exact"/>
        <w:ind w:firstLine="560" w:firstLineChars="200"/>
        <w:rPr>
          <w:rFonts w:hint="eastAsia"/>
          <w:sz w:val="28"/>
          <w:szCs w:val="28"/>
        </w:rPr>
      </w:pPr>
      <w:r>
        <w:rPr>
          <w:rFonts w:hint="eastAsia"/>
          <w:sz w:val="28"/>
          <w:szCs w:val="28"/>
        </w:rPr>
        <w:t>制订服务人员培训方案及服务质量改进方案。</w:t>
      </w:r>
    </w:p>
    <w:p>
      <w:pPr>
        <w:spacing w:line="460" w:lineRule="exact"/>
        <w:ind w:firstLine="560" w:firstLineChars="200"/>
        <w:rPr>
          <w:rFonts w:hint="eastAsia"/>
          <w:sz w:val="28"/>
          <w:szCs w:val="28"/>
        </w:rPr>
      </w:pPr>
      <w:r>
        <w:rPr>
          <w:rFonts w:hint="eastAsia"/>
          <w:sz w:val="28"/>
          <w:szCs w:val="28"/>
        </w:rPr>
        <w:t>⑷创优规划与创新管理方法：</w:t>
      </w:r>
    </w:p>
    <w:p>
      <w:pPr>
        <w:spacing w:line="460" w:lineRule="exact"/>
        <w:ind w:firstLine="560" w:firstLineChars="200"/>
        <w:rPr>
          <w:rFonts w:hint="eastAsia"/>
          <w:sz w:val="28"/>
          <w:szCs w:val="28"/>
        </w:rPr>
      </w:pPr>
      <w:r>
        <w:rPr>
          <w:rFonts w:hint="eastAsia"/>
          <w:sz w:val="28"/>
          <w:szCs w:val="28"/>
        </w:rPr>
        <w:t>制订出小区1～3年的管理目标及社区建设构想；</w:t>
      </w:r>
    </w:p>
    <w:p>
      <w:pPr>
        <w:spacing w:line="460" w:lineRule="exact"/>
        <w:ind w:firstLine="560" w:firstLineChars="200"/>
        <w:rPr>
          <w:rFonts w:hint="eastAsia"/>
          <w:sz w:val="28"/>
          <w:szCs w:val="28"/>
        </w:rPr>
      </w:pPr>
      <w:r>
        <w:rPr>
          <w:rFonts w:hint="eastAsia"/>
          <w:sz w:val="28"/>
          <w:szCs w:val="28"/>
        </w:rPr>
        <w:t>制订出小区维修资金效能管理和实施计划；</w:t>
      </w:r>
    </w:p>
    <w:p>
      <w:pPr>
        <w:spacing w:line="460" w:lineRule="exact"/>
        <w:ind w:firstLine="560" w:firstLineChars="200"/>
        <w:rPr>
          <w:rFonts w:hint="eastAsia"/>
          <w:sz w:val="28"/>
          <w:szCs w:val="28"/>
        </w:rPr>
      </w:pPr>
      <w:r>
        <w:rPr>
          <w:rFonts w:hint="eastAsia"/>
          <w:sz w:val="28"/>
          <w:szCs w:val="28"/>
        </w:rPr>
        <w:t>制订已有资源的经营管理设想；</w:t>
      </w:r>
    </w:p>
    <w:p>
      <w:pPr>
        <w:spacing w:line="460" w:lineRule="exact"/>
        <w:ind w:firstLine="560" w:firstLineChars="200"/>
        <w:rPr>
          <w:rFonts w:hint="eastAsia"/>
          <w:sz w:val="28"/>
          <w:szCs w:val="28"/>
        </w:rPr>
      </w:pPr>
      <w:r>
        <w:rPr>
          <w:rFonts w:hint="eastAsia"/>
          <w:sz w:val="28"/>
          <w:szCs w:val="28"/>
        </w:rPr>
        <w:t>制订创优目标及实施方案。</w:t>
      </w:r>
    </w:p>
    <w:p>
      <w:pPr>
        <w:spacing w:line="460" w:lineRule="exact"/>
        <w:ind w:firstLine="560" w:firstLineChars="200"/>
        <w:rPr>
          <w:rFonts w:hint="eastAsia"/>
          <w:sz w:val="28"/>
          <w:szCs w:val="28"/>
        </w:rPr>
      </w:pPr>
      <w:r>
        <w:rPr>
          <w:rFonts w:hint="eastAsia"/>
          <w:sz w:val="28"/>
          <w:szCs w:val="28"/>
        </w:rPr>
        <w:t>⑸项目管理的建议及对策：</w:t>
      </w:r>
    </w:p>
    <w:p>
      <w:pPr>
        <w:spacing w:line="460" w:lineRule="exact"/>
        <w:ind w:firstLine="560" w:firstLineChars="200"/>
        <w:rPr>
          <w:rFonts w:hint="eastAsia"/>
          <w:sz w:val="28"/>
          <w:szCs w:val="28"/>
        </w:rPr>
      </w:pPr>
      <w:r>
        <w:rPr>
          <w:rFonts w:hint="eastAsia"/>
          <w:sz w:val="28"/>
          <w:szCs w:val="28"/>
        </w:rPr>
        <w:t>提供项目管理的建设性意见或建议；</w:t>
      </w:r>
    </w:p>
    <w:p>
      <w:pPr>
        <w:spacing w:line="460" w:lineRule="exact"/>
        <w:ind w:firstLine="560" w:firstLineChars="200"/>
        <w:rPr>
          <w:rFonts w:hint="eastAsia"/>
          <w:sz w:val="28"/>
          <w:szCs w:val="28"/>
        </w:rPr>
      </w:pPr>
      <w:r>
        <w:rPr>
          <w:rFonts w:hint="eastAsia"/>
          <w:sz w:val="28"/>
          <w:szCs w:val="28"/>
        </w:rPr>
        <w:t>提供解决项目管理问题的途径和方法。</w:t>
      </w:r>
    </w:p>
    <w:p>
      <w:pPr>
        <w:spacing w:line="460" w:lineRule="exact"/>
        <w:ind w:firstLine="560" w:firstLineChars="200"/>
        <w:rPr>
          <w:rFonts w:hint="eastAsia"/>
          <w:sz w:val="28"/>
          <w:szCs w:val="28"/>
        </w:rPr>
      </w:pPr>
      <w:r>
        <w:rPr>
          <w:rFonts w:hint="eastAsia"/>
          <w:sz w:val="28"/>
          <w:szCs w:val="28"/>
        </w:rPr>
        <w:t>具体招投标函要求详见</w:t>
      </w:r>
      <w:r>
        <w:rPr>
          <w:rFonts w:hint="eastAsia"/>
          <w:sz w:val="28"/>
          <w:szCs w:val="28"/>
          <w:u w:val="single"/>
          <w:lang w:eastAsia="zh-CN"/>
        </w:rPr>
        <w:t>星悦家园</w:t>
      </w:r>
      <w:r>
        <w:rPr>
          <w:rFonts w:hint="eastAsia"/>
          <w:sz w:val="28"/>
          <w:szCs w:val="28"/>
        </w:rPr>
        <w:t>物业管理项目招标评标办法(见附件一)。</w:t>
      </w:r>
    </w:p>
    <w:p>
      <w:pPr>
        <w:spacing w:line="480" w:lineRule="exact"/>
        <w:rPr>
          <w:rFonts w:hint="eastAsia" w:ascii="宋体" w:hAnsi="宋体" w:eastAsia="宋体" w:cs="仿宋_GB2312"/>
          <w:sz w:val="24"/>
          <w:lang w:val="en-US" w:eastAsia="zh-CN"/>
        </w:rPr>
      </w:pPr>
      <w:r>
        <w:rPr>
          <w:rFonts w:hint="eastAsia"/>
          <w:sz w:val="28"/>
          <w:szCs w:val="28"/>
          <w:lang w:val="en-US" w:eastAsia="zh-CN"/>
        </w:rPr>
        <w:t>3、</w:t>
      </w:r>
      <w:r>
        <w:rPr>
          <w:rFonts w:hint="eastAsia"/>
          <w:sz w:val="28"/>
          <w:szCs w:val="28"/>
        </w:rPr>
        <w:t>商务标具体内容：</w:t>
      </w:r>
    </w:p>
    <w:p>
      <w:pPr>
        <w:spacing w:line="460" w:lineRule="exact"/>
        <w:ind w:firstLine="480" w:firstLineChars="200"/>
        <w:rPr>
          <w:rFonts w:hint="eastAsia"/>
          <w:sz w:val="28"/>
          <w:szCs w:val="28"/>
        </w:rPr>
      </w:pPr>
      <w:r>
        <w:rPr>
          <w:rFonts w:hint="eastAsia" w:ascii="宋体" w:hAnsi="宋体" w:cs="仿宋_GB2312"/>
          <w:sz w:val="24"/>
        </w:rPr>
        <w:t xml:space="preserve">    </w:t>
      </w:r>
      <w:r>
        <w:rPr>
          <w:rFonts w:hint="eastAsia"/>
          <w:sz w:val="28"/>
          <w:szCs w:val="28"/>
        </w:rPr>
        <w:t>（</w:t>
      </w:r>
      <w:r>
        <w:rPr>
          <w:rFonts w:hint="eastAsia"/>
          <w:sz w:val="28"/>
          <w:szCs w:val="28"/>
          <w:lang w:val="en-US" w:eastAsia="zh-CN"/>
        </w:rPr>
        <w:t>1</w:t>
      </w:r>
      <w:r>
        <w:rPr>
          <w:rFonts w:hint="eastAsia"/>
          <w:sz w:val="28"/>
          <w:szCs w:val="28"/>
        </w:rPr>
        <w:t>）商务标报价表（附件</w:t>
      </w:r>
      <w:r>
        <w:rPr>
          <w:rFonts w:hint="eastAsia"/>
          <w:sz w:val="28"/>
          <w:szCs w:val="28"/>
          <w:lang w:val="en-US" w:eastAsia="zh-CN"/>
        </w:rPr>
        <w:t>八</w:t>
      </w:r>
      <w:r>
        <w:rPr>
          <w:rFonts w:hint="eastAsia"/>
          <w:sz w:val="28"/>
          <w:szCs w:val="28"/>
        </w:rPr>
        <w:t>）</w:t>
      </w:r>
    </w:p>
    <w:p>
      <w:pPr>
        <w:spacing w:line="460" w:lineRule="exact"/>
        <w:ind w:firstLine="560" w:firstLineChars="200"/>
        <w:rPr>
          <w:rFonts w:hint="eastAsia" w:eastAsia="宋体"/>
          <w:sz w:val="28"/>
          <w:szCs w:val="28"/>
          <w:lang w:val="en-US" w:eastAsia="zh-CN"/>
        </w:rPr>
      </w:pPr>
      <w:r>
        <w:rPr>
          <w:rFonts w:hint="eastAsia"/>
          <w:sz w:val="28"/>
          <w:szCs w:val="28"/>
        </w:rPr>
        <w:t>本项目物业管理服务等级为三级，本次商务标报价针对住宅、商业部分</w:t>
      </w:r>
      <w:r>
        <w:rPr>
          <w:rFonts w:hint="eastAsia"/>
          <w:sz w:val="28"/>
          <w:szCs w:val="28"/>
          <w:lang w:val="en-US" w:eastAsia="zh-CN"/>
        </w:rPr>
        <w:t>分别</w:t>
      </w:r>
      <w:r>
        <w:rPr>
          <w:rFonts w:hint="eastAsia"/>
          <w:sz w:val="28"/>
          <w:szCs w:val="28"/>
        </w:rPr>
        <w:t>进行报价,住宅、商业</w:t>
      </w:r>
      <w:r>
        <w:rPr>
          <w:rFonts w:hint="eastAsia"/>
          <w:sz w:val="28"/>
          <w:szCs w:val="28"/>
          <w:u w:val="single"/>
        </w:rPr>
        <w:t xml:space="preserve">      </w:t>
      </w:r>
      <w:r>
        <w:rPr>
          <w:rFonts w:hint="eastAsia"/>
          <w:sz w:val="28"/>
          <w:szCs w:val="28"/>
        </w:rPr>
        <w:t xml:space="preserve"> 元/ </w:t>
      </w:r>
      <w:r>
        <w:rPr>
          <w:rFonts w:hint="eastAsia"/>
          <w:sz w:val="28"/>
          <w:szCs w:val="28"/>
          <w:lang w:val="en-US" w:eastAsia="zh-CN"/>
        </w:rPr>
        <w:t>㎡</w:t>
      </w:r>
      <w:r>
        <w:rPr>
          <w:rFonts w:hint="eastAsia"/>
          <w:sz w:val="28"/>
          <w:szCs w:val="28"/>
        </w:rPr>
        <w:t>·月（如投标单位的投标报价未按该报价进行报价的，其投标文件按零分处理)。</w:t>
      </w:r>
    </w:p>
    <w:p>
      <w:pPr>
        <w:spacing w:line="460" w:lineRule="exact"/>
        <w:ind w:firstLine="560" w:firstLineChars="200"/>
        <w:rPr>
          <w:rFonts w:hint="eastAsia"/>
          <w:sz w:val="28"/>
          <w:szCs w:val="28"/>
        </w:rPr>
      </w:pPr>
      <w:r>
        <w:rPr>
          <w:rFonts w:hint="eastAsia"/>
          <w:sz w:val="28"/>
          <w:szCs w:val="28"/>
        </w:rPr>
        <w:t>（九）投标保证金</w:t>
      </w:r>
    </w:p>
    <w:p>
      <w:pPr>
        <w:spacing w:line="460" w:lineRule="exact"/>
        <w:ind w:firstLine="560" w:firstLineChars="200"/>
        <w:rPr>
          <w:rFonts w:hint="eastAsia"/>
          <w:sz w:val="28"/>
          <w:szCs w:val="28"/>
        </w:rPr>
      </w:pPr>
      <w:r>
        <w:rPr>
          <w:rFonts w:hint="eastAsia"/>
          <w:sz w:val="28"/>
          <w:szCs w:val="28"/>
        </w:rPr>
        <w:t>1、投标单位需在规定时间内向招标人（或代理公司）缴交投标保证金（现金或转账）</w:t>
      </w:r>
      <w:r>
        <w:rPr>
          <w:rFonts w:hint="eastAsia"/>
          <w:sz w:val="28"/>
          <w:szCs w:val="28"/>
          <w:u w:val="single"/>
        </w:rPr>
        <w:t xml:space="preserve"> </w:t>
      </w:r>
      <w:r>
        <w:rPr>
          <w:rFonts w:hint="eastAsia"/>
          <w:sz w:val="28"/>
          <w:szCs w:val="28"/>
          <w:u w:val="single"/>
          <w:lang w:val="en-US" w:eastAsia="zh-CN"/>
        </w:rPr>
        <w:t>叁</w:t>
      </w:r>
      <w:r>
        <w:rPr>
          <w:rFonts w:hint="eastAsia"/>
          <w:sz w:val="28"/>
          <w:szCs w:val="28"/>
          <w:u w:val="single"/>
        </w:rPr>
        <w:t xml:space="preserve"> </w:t>
      </w:r>
      <w:r>
        <w:rPr>
          <w:rFonts w:hint="eastAsia"/>
          <w:sz w:val="28"/>
          <w:szCs w:val="28"/>
        </w:rPr>
        <w:t>万元，逾期无效，并由代理公司统一将保证金收据复印件送永嘉县住房与城乡建设局一份备查。</w:t>
      </w:r>
    </w:p>
    <w:p>
      <w:pPr>
        <w:spacing w:line="460" w:lineRule="exact"/>
        <w:rPr>
          <w:rFonts w:hint="default" w:eastAsia="宋体"/>
          <w:sz w:val="28"/>
          <w:szCs w:val="28"/>
          <w:lang w:val="en-US" w:eastAsia="zh-CN"/>
        </w:rPr>
      </w:pPr>
      <w:r>
        <w:rPr>
          <w:rFonts w:hint="eastAsia"/>
          <w:sz w:val="28"/>
          <w:szCs w:val="28"/>
        </w:rPr>
        <w:t>开户银行：</w:t>
      </w:r>
      <w:r>
        <w:rPr>
          <w:rFonts w:hint="eastAsia"/>
          <w:sz w:val="28"/>
          <w:szCs w:val="28"/>
          <w:lang w:val="en-US" w:eastAsia="zh-CN"/>
        </w:rPr>
        <w:t>中国农业银行股份有限公司温州状元支行（温州市创越项目管理咨询有限公司）</w:t>
      </w:r>
    </w:p>
    <w:p>
      <w:pPr>
        <w:spacing w:line="460" w:lineRule="exact"/>
        <w:rPr>
          <w:rFonts w:hint="eastAsia"/>
          <w:sz w:val="28"/>
          <w:szCs w:val="28"/>
        </w:rPr>
      </w:pPr>
      <w:r>
        <w:rPr>
          <w:rFonts w:hint="eastAsia"/>
          <w:sz w:val="28"/>
          <w:szCs w:val="28"/>
        </w:rPr>
        <w:t>缴款帐号：</w:t>
      </w:r>
      <w:r>
        <w:rPr>
          <w:rFonts w:hint="eastAsia"/>
          <w:sz w:val="28"/>
          <w:szCs w:val="28"/>
          <w:lang w:val="en-US" w:eastAsia="zh-CN"/>
        </w:rPr>
        <w:t>19225301040033103</w:t>
      </w:r>
    </w:p>
    <w:p>
      <w:pPr>
        <w:spacing w:line="460" w:lineRule="exact"/>
        <w:ind w:firstLine="560" w:firstLineChars="200"/>
        <w:rPr>
          <w:rFonts w:hint="eastAsia"/>
          <w:sz w:val="28"/>
          <w:szCs w:val="28"/>
        </w:rPr>
      </w:pPr>
      <w:r>
        <w:rPr>
          <w:rFonts w:hint="eastAsia"/>
          <w:sz w:val="28"/>
          <w:szCs w:val="28"/>
        </w:rPr>
        <w:t>2、自始至终参加投标的未中标单位的投标保证金在投标结束、中标通知书发出后5个工作日内予以退回（无息），未中标单位需同时退还有关资料。</w:t>
      </w:r>
    </w:p>
    <w:p>
      <w:pPr>
        <w:spacing w:line="460" w:lineRule="exact"/>
        <w:ind w:firstLine="560" w:firstLineChars="200"/>
        <w:rPr>
          <w:rFonts w:hint="eastAsia"/>
          <w:sz w:val="28"/>
          <w:szCs w:val="28"/>
        </w:rPr>
      </w:pPr>
      <w:r>
        <w:rPr>
          <w:rFonts w:hint="eastAsia"/>
          <w:sz w:val="28"/>
          <w:szCs w:val="28"/>
        </w:rPr>
        <w:t>未中标单位技术标函由永嘉县住房与城乡建设局备案一份，其余应在中标通知书发出后5个工作日内予以退还。</w:t>
      </w:r>
    </w:p>
    <w:p>
      <w:pPr>
        <w:spacing w:line="460" w:lineRule="exact"/>
        <w:ind w:firstLine="560" w:firstLineChars="200"/>
        <w:rPr>
          <w:rFonts w:hint="eastAsia"/>
          <w:sz w:val="28"/>
          <w:szCs w:val="28"/>
        </w:rPr>
      </w:pPr>
      <w:r>
        <w:rPr>
          <w:rFonts w:hint="eastAsia"/>
          <w:sz w:val="28"/>
          <w:szCs w:val="28"/>
        </w:rPr>
        <w:t>3、中标单位的投标保证金在签订合同后5个工作日内予以退回（无息）。</w:t>
      </w:r>
    </w:p>
    <w:p>
      <w:pPr>
        <w:spacing w:line="460" w:lineRule="exact"/>
        <w:ind w:firstLine="560" w:firstLineChars="200"/>
        <w:rPr>
          <w:rFonts w:hint="eastAsia"/>
          <w:b/>
          <w:bCs/>
          <w:sz w:val="28"/>
          <w:szCs w:val="28"/>
        </w:rPr>
      </w:pPr>
      <w:r>
        <w:rPr>
          <w:rFonts w:hint="eastAsia"/>
          <w:b/>
          <w:bCs/>
          <w:sz w:val="28"/>
          <w:szCs w:val="28"/>
        </w:rPr>
        <w:t>4、凡有下列情形之一的，投标保证金不予退还；由物业建设单位没收：</w:t>
      </w:r>
    </w:p>
    <w:p>
      <w:pPr>
        <w:spacing w:line="460" w:lineRule="exact"/>
        <w:ind w:firstLine="560" w:firstLineChars="200"/>
        <w:rPr>
          <w:rFonts w:hint="eastAsia"/>
          <w:b/>
          <w:bCs/>
          <w:sz w:val="28"/>
          <w:szCs w:val="28"/>
        </w:rPr>
      </w:pPr>
      <w:r>
        <w:rPr>
          <w:rFonts w:hint="eastAsia"/>
          <w:b/>
          <w:bCs/>
          <w:sz w:val="28"/>
          <w:szCs w:val="28"/>
        </w:rPr>
        <w:t>（1）投标截止以后，投标单位撤回投标文件的；</w:t>
      </w:r>
    </w:p>
    <w:p>
      <w:pPr>
        <w:spacing w:line="460" w:lineRule="exact"/>
        <w:ind w:firstLine="560" w:firstLineChars="200"/>
        <w:rPr>
          <w:rFonts w:hint="eastAsia"/>
          <w:b/>
          <w:bCs/>
          <w:sz w:val="28"/>
          <w:szCs w:val="28"/>
        </w:rPr>
      </w:pPr>
      <w:r>
        <w:rPr>
          <w:rFonts w:hint="eastAsia"/>
          <w:b/>
          <w:bCs/>
          <w:sz w:val="28"/>
          <w:szCs w:val="28"/>
        </w:rPr>
        <w:t>（2）投标单位未在规定时间内递交投标标函的；</w:t>
      </w:r>
    </w:p>
    <w:p>
      <w:pPr>
        <w:spacing w:line="460" w:lineRule="exact"/>
        <w:ind w:firstLine="560" w:firstLineChars="200"/>
        <w:rPr>
          <w:rFonts w:hint="eastAsia"/>
          <w:b/>
          <w:bCs/>
          <w:sz w:val="28"/>
          <w:szCs w:val="28"/>
        </w:rPr>
      </w:pPr>
      <w:r>
        <w:rPr>
          <w:rFonts w:hint="eastAsia"/>
          <w:b/>
          <w:bCs/>
          <w:sz w:val="28"/>
          <w:szCs w:val="28"/>
        </w:rPr>
        <w:t>（3）中标后不签订物业管理委托合同的；</w:t>
      </w:r>
    </w:p>
    <w:p>
      <w:pPr>
        <w:spacing w:line="460" w:lineRule="exact"/>
        <w:ind w:firstLine="560" w:firstLineChars="200"/>
        <w:rPr>
          <w:rFonts w:hint="eastAsia"/>
          <w:b/>
          <w:bCs/>
          <w:sz w:val="28"/>
          <w:szCs w:val="28"/>
        </w:rPr>
      </w:pPr>
      <w:r>
        <w:rPr>
          <w:rFonts w:hint="eastAsia"/>
          <w:b/>
          <w:bCs/>
          <w:sz w:val="28"/>
          <w:szCs w:val="28"/>
        </w:rPr>
        <w:t>（4）在投标过程中有其他违纪违规行为的。</w:t>
      </w:r>
    </w:p>
    <w:p>
      <w:pPr>
        <w:spacing w:line="460" w:lineRule="exact"/>
        <w:ind w:firstLine="560" w:firstLineChars="200"/>
        <w:rPr>
          <w:rFonts w:hint="eastAsia"/>
          <w:sz w:val="28"/>
          <w:szCs w:val="28"/>
        </w:rPr>
      </w:pPr>
      <w:r>
        <w:rPr>
          <w:rFonts w:hint="eastAsia"/>
          <w:sz w:val="28"/>
          <w:szCs w:val="28"/>
        </w:rPr>
        <w:t>（十）现场踏勘与招标答疑会</w:t>
      </w:r>
    </w:p>
    <w:p>
      <w:pPr>
        <w:spacing w:line="460" w:lineRule="exact"/>
        <w:ind w:firstLine="560" w:firstLineChars="200"/>
        <w:rPr>
          <w:rFonts w:hint="eastAsia"/>
          <w:sz w:val="28"/>
          <w:szCs w:val="28"/>
        </w:rPr>
      </w:pPr>
      <w:r>
        <w:rPr>
          <w:rFonts w:hint="eastAsia"/>
          <w:sz w:val="28"/>
          <w:szCs w:val="28"/>
        </w:rPr>
        <w:t>1、投标单位将被邀请对物业管理现场和周围环境进行踏勘，并获取有关编制投标文件和签署合同所需的所有资料。</w:t>
      </w:r>
    </w:p>
    <w:p>
      <w:pPr>
        <w:spacing w:line="460" w:lineRule="exact"/>
        <w:ind w:firstLine="560" w:firstLineChars="200"/>
        <w:rPr>
          <w:rFonts w:hint="eastAsia"/>
          <w:sz w:val="28"/>
          <w:szCs w:val="28"/>
        </w:rPr>
      </w:pPr>
      <w:r>
        <w:rPr>
          <w:rFonts w:hint="eastAsia"/>
          <w:sz w:val="28"/>
          <w:szCs w:val="28"/>
        </w:rPr>
        <w:t>2、投标单位提出的与投标有关的任何问题在收到招标文件5日内以书面形式送达招标人。</w:t>
      </w:r>
    </w:p>
    <w:p>
      <w:pPr>
        <w:spacing w:line="460" w:lineRule="exact"/>
        <w:ind w:firstLine="560" w:firstLineChars="200"/>
        <w:rPr>
          <w:rFonts w:hint="eastAsia"/>
          <w:sz w:val="28"/>
          <w:szCs w:val="28"/>
        </w:rPr>
      </w:pPr>
      <w:r>
        <w:rPr>
          <w:rFonts w:hint="eastAsia"/>
          <w:sz w:val="28"/>
          <w:szCs w:val="28"/>
        </w:rPr>
        <w:t>3、招标人在发放招标文件后，将按时召开招标答疑会，会议邀请物业主管部门、投标单位以及有关部门参加，目的是澄清、解答投标单位提出的书面问题。</w:t>
      </w:r>
    </w:p>
    <w:p>
      <w:pPr>
        <w:spacing w:line="460" w:lineRule="exact"/>
        <w:ind w:firstLine="560" w:firstLineChars="200"/>
        <w:rPr>
          <w:rFonts w:hint="eastAsia"/>
          <w:sz w:val="28"/>
          <w:szCs w:val="28"/>
        </w:rPr>
      </w:pPr>
      <w:r>
        <w:rPr>
          <w:rFonts w:hint="eastAsia"/>
          <w:sz w:val="28"/>
          <w:szCs w:val="28"/>
        </w:rPr>
        <w:t>4、会议纪要（包括所有问题和答复），将在会后3日内提供给所有投标单位，并报永嘉县住房与城乡建设局备案。由招标答疑会而产生的对招标文件内容的修改，招标人应以补充通知的方式发出。</w:t>
      </w:r>
    </w:p>
    <w:p>
      <w:pPr>
        <w:spacing w:line="460" w:lineRule="exact"/>
        <w:jc w:val="center"/>
        <w:rPr>
          <w:rFonts w:hint="eastAsia"/>
          <w:b/>
          <w:bCs/>
          <w:sz w:val="30"/>
          <w:szCs w:val="30"/>
        </w:rPr>
      </w:pPr>
      <w:r>
        <w:rPr>
          <w:rFonts w:hint="eastAsia"/>
          <w:b/>
          <w:bCs/>
          <w:sz w:val="30"/>
          <w:szCs w:val="30"/>
        </w:rPr>
        <w:t>四、投标文件递交</w:t>
      </w:r>
    </w:p>
    <w:p>
      <w:pPr>
        <w:spacing w:line="460" w:lineRule="exact"/>
        <w:ind w:firstLine="560" w:firstLineChars="200"/>
        <w:rPr>
          <w:rFonts w:hint="eastAsia"/>
          <w:sz w:val="28"/>
          <w:szCs w:val="28"/>
        </w:rPr>
      </w:pPr>
      <w:r>
        <w:rPr>
          <w:rFonts w:hint="eastAsia"/>
          <w:sz w:val="28"/>
          <w:szCs w:val="28"/>
        </w:rPr>
        <w:t>（十一）投标文件的递交</w:t>
      </w:r>
    </w:p>
    <w:p>
      <w:pPr>
        <w:spacing w:line="460" w:lineRule="exact"/>
        <w:ind w:firstLine="560" w:firstLineChars="200"/>
        <w:rPr>
          <w:rFonts w:hint="eastAsia"/>
          <w:sz w:val="28"/>
          <w:szCs w:val="28"/>
        </w:rPr>
      </w:pPr>
      <w:r>
        <w:rPr>
          <w:rFonts w:hint="eastAsia"/>
          <w:sz w:val="28"/>
          <w:szCs w:val="28"/>
        </w:rPr>
        <w:t>1、投标文件应在招标单位规定的截止日期时间前送达招标单位。</w:t>
      </w:r>
    </w:p>
    <w:p>
      <w:pPr>
        <w:spacing w:line="460" w:lineRule="exact"/>
        <w:ind w:firstLine="560" w:firstLineChars="200"/>
        <w:rPr>
          <w:rFonts w:hint="eastAsia"/>
          <w:sz w:val="28"/>
          <w:szCs w:val="28"/>
        </w:rPr>
      </w:pPr>
      <w:r>
        <w:rPr>
          <w:rFonts w:hint="eastAsia"/>
          <w:sz w:val="28"/>
          <w:szCs w:val="28"/>
        </w:rPr>
        <w:t>2、投标单位未在规定时间内递交投标标函的，将被视为自动放弃。</w:t>
      </w:r>
    </w:p>
    <w:p>
      <w:pPr>
        <w:spacing w:line="460" w:lineRule="exact"/>
        <w:ind w:firstLine="560" w:firstLineChars="200"/>
        <w:rPr>
          <w:rFonts w:hint="eastAsia"/>
          <w:sz w:val="28"/>
          <w:szCs w:val="28"/>
        </w:rPr>
      </w:pPr>
      <w:r>
        <w:rPr>
          <w:rFonts w:hint="eastAsia"/>
          <w:sz w:val="28"/>
          <w:szCs w:val="28"/>
        </w:rPr>
        <w:t>3、投标单位未按规定份数提交投标书的将被拒绝，并原封退还给投标单位。</w:t>
      </w:r>
    </w:p>
    <w:p>
      <w:pPr>
        <w:spacing w:line="400" w:lineRule="exact"/>
        <w:ind w:firstLine="560" w:firstLineChars="200"/>
        <w:rPr>
          <w:rFonts w:hint="eastAsia"/>
          <w:sz w:val="28"/>
          <w:szCs w:val="28"/>
        </w:rPr>
      </w:pPr>
      <w:r>
        <w:rPr>
          <w:rFonts w:hint="eastAsia"/>
          <w:sz w:val="28"/>
          <w:szCs w:val="28"/>
        </w:rPr>
        <w:t>（十二）投标文件的封存</w:t>
      </w:r>
    </w:p>
    <w:p>
      <w:pPr>
        <w:spacing w:line="400" w:lineRule="exact"/>
        <w:ind w:firstLine="560" w:firstLineChars="200"/>
        <w:rPr>
          <w:rFonts w:hint="eastAsia"/>
          <w:sz w:val="28"/>
          <w:szCs w:val="28"/>
        </w:rPr>
      </w:pPr>
      <w:r>
        <w:rPr>
          <w:rFonts w:hint="eastAsia"/>
          <w:sz w:val="28"/>
          <w:szCs w:val="28"/>
        </w:rPr>
        <w:t>招标单位在收到投标标函时，应办理查验、登记手续。</w:t>
      </w:r>
    </w:p>
    <w:p>
      <w:pPr>
        <w:spacing w:line="400" w:lineRule="exact"/>
        <w:ind w:firstLine="560" w:firstLineChars="200"/>
        <w:rPr>
          <w:rFonts w:hint="eastAsia"/>
          <w:sz w:val="28"/>
          <w:szCs w:val="28"/>
        </w:rPr>
      </w:pPr>
      <w:r>
        <w:rPr>
          <w:rFonts w:hint="eastAsia"/>
          <w:sz w:val="28"/>
          <w:szCs w:val="28"/>
        </w:rPr>
        <w:t>（十三）投标文件的修改与撤回</w:t>
      </w:r>
    </w:p>
    <w:p>
      <w:pPr>
        <w:spacing w:line="400" w:lineRule="exact"/>
        <w:ind w:firstLine="560" w:firstLineChars="200"/>
        <w:rPr>
          <w:rFonts w:hint="eastAsia"/>
          <w:sz w:val="28"/>
          <w:szCs w:val="28"/>
        </w:rPr>
      </w:pPr>
      <w:r>
        <w:rPr>
          <w:rFonts w:hint="eastAsia"/>
          <w:sz w:val="28"/>
          <w:szCs w:val="28"/>
        </w:rPr>
        <w:t>1、投标单位在递交投标文件以后，可以在规定的投标截止期之前，撤回投标文件。</w:t>
      </w:r>
    </w:p>
    <w:p>
      <w:pPr>
        <w:spacing w:line="400" w:lineRule="exact"/>
        <w:ind w:firstLine="560" w:firstLineChars="200"/>
        <w:rPr>
          <w:rFonts w:hint="eastAsia"/>
          <w:b/>
          <w:bCs/>
          <w:sz w:val="30"/>
          <w:szCs w:val="30"/>
        </w:rPr>
      </w:pPr>
      <w:r>
        <w:rPr>
          <w:rFonts w:hint="eastAsia"/>
          <w:sz w:val="28"/>
          <w:szCs w:val="28"/>
        </w:rPr>
        <w:t>2、投标截止以后，投标单位不得撤回投标文件。</w:t>
      </w:r>
    </w:p>
    <w:p>
      <w:pPr>
        <w:spacing w:line="400" w:lineRule="exact"/>
        <w:jc w:val="center"/>
        <w:rPr>
          <w:rFonts w:hint="eastAsia"/>
          <w:b/>
          <w:bCs/>
          <w:sz w:val="30"/>
          <w:szCs w:val="30"/>
        </w:rPr>
      </w:pPr>
      <w:r>
        <w:rPr>
          <w:rFonts w:hint="eastAsia"/>
          <w:b/>
          <w:bCs/>
          <w:sz w:val="30"/>
          <w:szCs w:val="30"/>
        </w:rPr>
        <w:t>五、开    标</w:t>
      </w:r>
    </w:p>
    <w:p>
      <w:pPr>
        <w:spacing w:line="400" w:lineRule="exact"/>
        <w:ind w:firstLine="560" w:firstLineChars="200"/>
        <w:rPr>
          <w:rFonts w:hint="eastAsia"/>
          <w:sz w:val="28"/>
          <w:szCs w:val="28"/>
        </w:rPr>
      </w:pPr>
      <w:r>
        <w:rPr>
          <w:rFonts w:hint="eastAsia"/>
          <w:sz w:val="28"/>
          <w:szCs w:val="28"/>
        </w:rPr>
        <w:t>（十四）开标</w:t>
      </w:r>
    </w:p>
    <w:p>
      <w:pPr>
        <w:spacing w:line="400" w:lineRule="exact"/>
        <w:ind w:firstLine="560" w:firstLineChars="200"/>
        <w:rPr>
          <w:rFonts w:hint="eastAsia"/>
          <w:b/>
          <w:bCs/>
          <w:sz w:val="28"/>
          <w:szCs w:val="28"/>
        </w:rPr>
      </w:pPr>
      <w:r>
        <w:rPr>
          <w:rFonts w:hint="eastAsia"/>
          <w:sz w:val="28"/>
          <w:szCs w:val="28"/>
        </w:rPr>
        <w:t>1、</w:t>
      </w:r>
      <w:r>
        <w:rPr>
          <w:rFonts w:hint="eastAsia"/>
          <w:b/>
          <w:bCs/>
          <w:sz w:val="28"/>
          <w:szCs w:val="28"/>
        </w:rPr>
        <w:t>开标会议应由投标单位法定代表人或委托代理人参加，委托代理人必须持有并出示法定代表人签字或盖章并加盖单位公章的授权委托书和本人身份证，参加开标的投标单位代表应签名报到，以证明其出席开标会议。各投标单位参加开标会议的人数不得超过3人。</w:t>
      </w:r>
    </w:p>
    <w:p>
      <w:pPr>
        <w:spacing w:line="400" w:lineRule="exact"/>
        <w:ind w:firstLine="560" w:firstLineChars="200"/>
        <w:rPr>
          <w:rFonts w:hint="eastAsia"/>
          <w:sz w:val="28"/>
          <w:szCs w:val="28"/>
        </w:rPr>
      </w:pPr>
      <w:r>
        <w:rPr>
          <w:rFonts w:hint="eastAsia"/>
          <w:sz w:val="28"/>
          <w:szCs w:val="28"/>
        </w:rPr>
        <w:t>2、开标会议由招标人组织并主持，永嘉县住房与城乡建设局进行指导和现场监督。</w:t>
      </w:r>
    </w:p>
    <w:p>
      <w:pPr>
        <w:spacing w:line="400" w:lineRule="exact"/>
        <w:ind w:firstLine="560" w:firstLineChars="200"/>
        <w:rPr>
          <w:rFonts w:hint="eastAsia"/>
          <w:color w:val="auto"/>
          <w:sz w:val="28"/>
          <w:szCs w:val="28"/>
        </w:rPr>
      </w:pPr>
      <w:r>
        <w:rPr>
          <w:rFonts w:hint="eastAsia"/>
          <w:sz w:val="28"/>
          <w:szCs w:val="28"/>
        </w:rPr>
        <w:t>3、投标单位代表在规定的开标会议时间后到达或未参加开标会议的将视为自动弃权</w:t>
      </w:r>
      <w:r>
        <w:rPr>
          <w:rFonts w:hint="eastAsia"/>
          <w:color w:val="auto"/>
          <w:sz w:val="28"/>
          <w:szCs w:val="28"/>
        </w:rPr>
        <w:t>。</w:t>
      </w:r>
    </w:p>
    <w:p>
      <w:pPr>
        <w:spacing w:line="400" w:lineRule="exact"/>
        <w:ind w:firstLine="560" w:firstLineChars="200"/>
        <w:rPr>
          <w:rFonts w:hint="eastAsia"/>
          <w:color w:val="auto"/>
          <w:sz w:val="28"/>
          <w:szCs w:val="28"/>
        </w:rPr>
      </w:pPr>
      <w:r>
        <w:rPr>
          <w:rFonts w:hint="eastAsia"/>
          <w:color w:val="auto"/>
          <w:sz w:val="28"/>
          <w:szCs w:val="28"/>
        </w:rPr>
        <w:t>投标文件有下列情况之一者，该文件得分为零分：</w:t>
      </w:r>
    </w:p>
    <w:p>
      <w:pPr>
        <w:spacing w:line="400" w:lineRule="exact"/>
        <w:ind w:firstLine="560" w:firstLineChars="200"/>
        <w:rPr>
          <w:rFonts w:hint="eastAsia"/>
          <w:b/>
          <w:bCs/>
          <w:color w:val="auto"/>
          <w:sz w:val="28"/>
          <w:szCs w:val="28"/>
        </w:rPr>
      </w:pPr>
      <w:r>
        <w:rPr>
          <w:rFonts w:hint="eastAsia"/>
          <w:b/>
          <w:bCs/>
          <w:color w:val="auto"/>
          <w:sz w:val="28"/>
          <w:szCs w:val="28"/>
        </w:rPr>
        <w:t>（1）投标文件未按规定密封、标志的；</w:t>
      </w:r>
    </w:p>
    <w:p>
      <w:pPr>
        <w:spacing w:line="400" w:lineRule="exact"/>
        <w:ind w:firstLine="560" w:firstLineChars="200"/>
        <w:rPr>
          <w:rFonts w:hint="eastAsia"/>
          <w:b/>
          <w:bCs/>
          <w:color w:val="auto"/>
          <w:sz w:val="28"/>
          <w:szCs w:val="28"/>
        </w:rPr>
      </w:pPr>
      <w:r>
        <w:rPr>
          <w:rFonts w:hint="eastAsia"/>
          <w:b/>
          <w:bCs/>
          <w:color w:val="auto"/>
          <w:sz w:val="28"/>
          <w:szCs w:val="28"/>
        </w:rPr>
        <w:t>（2）规定应加盖而未加盖投标单位公章和单位法定代表人印鉴，或者规定不得加盖而加盖投标单位公章或有其他可能明显泄露单位名称的内容和标志的；</w:t>
      </w:r>
    </w:p>
    <w:p>
      <w:pPr>
        <w:spacing w:line="400" w:lineRule="exact"/>
        <w:ind w:firstLine="560" w:firstLineChars="200"/>
        <w:rPr>
          <w:rFonts w:hint="eastAsia"/>
          <w:b/>
          <w:bCs/>
          <w:color w:val="auto"/>
          <w:sz w:val="28"/>
          <w:szCs w:val="28"/>
        </w:rPr>
      </w:pPr>
      <w:r>
        <w:rPr>
          <w:rFonts w:hint="eastAsia"/>
          <w:b/>
          <w:bCs/>
          <w:color w:val="auto"/>
          <w:sz w:val="28"/>
          <w:szCs w:val="28"/>
        </w:rPr>
        <w:t>（3）技术标副本未按规定格式打印的；</w:t>
      </w:r>
    </w:p>
    <w:p>
      <w:pPr>
        <w:spacing w:line="400" w:lineRule="exact"/>
        <w:ind w:firstLine="560" w:firstLineChars="200"/>
        <w:rPr>
          <w:rFonts w:hint="eastAsia"/>
          <w:b/>
          <w:bCs/>
          <w:color w:val="auto"/>
          <w:sz w:val="28"/>
          <w:szCs w:val="28"/>
        </w:rPr>
      </w:pPr>
      <w:r>
        <w:rPr>
          <w:rFonts w:hint="eastAsia"/>
          <w:b/>
          <w:bCs/>
          <w:color w:val="auto"/>
          <w:sz w:val="28"/>
          <w:szCs w:val="28"/>
        </w:rPr>
        <w:t>（4）技术标正文页数超过25页、总页数超250页的；</w:t>
      </w:r>
    </w:p>
    <w:p>
      <w:pPr>
        <w:spacing w:line="400" w:lineRule="exact"/>
        <w:ind w:firstLine="560" w:firstLineChars="200"/>
        <w:rPr>
          <w:rFonts w:hint="eastAsia"/>
          <w:b/>
          <w:bCs/>
          <w:color w:val="auto"/>
          <w:sz w:val="28"/>
          <w:szCs w:val="28"/>
        </w:rPr>
      </w:pPr>
      <w:r>
        <w:rPr>
          <w:rFonts w:hint="eastAsia"/>
          <w:b/>
          <w:bCs/>
          <w:color w:val="auto"/>
          <w:sz w:val="28"/>
          <w:szCs w:val="28"/>
        </w:rPr>
        <w:t>（</w:t>
      </w:r>
      <w:r>
        <w:rPr>
          <w:rFonts w:hint="eastAsia"/>
          <w:b/>
          <w:bCs/>
          <w:color w:val="auto"/>
          <w:sz w:val="28"/>
          <w:szCs w:val="28"/>
          <w:lang w:val="en-US" w:eastAsia="zh-CN"/>
        </w:rPr>
        <w:t>5</w:t>
      </w:r>
      <w:r>
        <w:rPr>
          <w:rFonts w:hint="eastAsia"/>
          <w:b/>
          <w:bCs/>
          <w:color w:val="auto"/>
          <w:sz w:val="28"/>
          <w:szCs w:val="28"/>
        </w:rPr>
        <w:t>）投标截止期以后送达的投标文件；</w:t>
      </w:r>
    </w:p>
    <w:p>
      <w:pPr>
        <w:spacing w:line="400" w:lineRule="exact"/>
        <w:ind w:firstLine="560" w:firstLineChars="200"/>
        <w:rPr>
          <w:rFonts w:hint="eastAsia"/>
          <w:b/>
          <w:bCs/>
          <w:color w:val="auto"/>
          <w:sz w:val="28"/>
          <w:szCs w:val="28"/>
        </w:rPr>
      </w:pPr>
      <w:r>
        <w:rPr>
          <w:rFonts w:hint="eastAsia"/>
          <w:b/>
          <w:bCs/>
          <w:color w:val="auto"/>
          <w:sz w:val="28"/>
          <w:szCs w:val="28"/>
        </w:rPr>
        <w:t>（</w:t>
      </w:r>
      <w:r>
        <w:rPr>
          <w:rFonts w:hint="eastAsia"/>
          <w:b/>
          <w:bCs/>
          <w:color w:val="auto"/>
          <w:sz w:val="28"/>
          <w:szCs w:val="28"/>
          <w:lang w:val="en-US" w:eastAsia="zh-CN"/>
        </w:rPr>
        <w:t>6</w:t>
      </w:r>
      <w:r>
        <w:rPr>
          <w:rFonts w:hint="eastAsia"/>
          <w:b/>
          <w:bCs/>
          <w:color w:val="auto"/>
          <w:sz w:val="28"/>
          <w:szCs w:val="28"/>
        </w:rPr>
        <w:t>）在评标过程中</w:t>
      </w:r>
      <w:r>
        <w:rPr>
          <w:rFonts w:hint="eastAsia"/>
          <w:b/>
          <w:bCs/>
          <w:color w:val="auto"/>
          <w:sz w:val="28"/>
          <w:szCs w:val="28"/>
          <w:lang w:eastAsia="zh-CN"/>
        </w:rPr>
        <w:t>，</w:t>
      </w:r>
      <w:r>
        <w:rPr>
          <w:rFonts w:hint="eastAsia"/>
          <w:b/>
          <w:bCs/>
          <w:color w:val="auto"/>
          <w:sz w:val="28"/>
          <w:szCs w:val="28"/>
        </w:rPr>
        <w:t>投标单位所有投标文件不符合招标文件格式要求的；</w:t>
      </w:r>
    </w:p>
    <w:p>
      <w:pPr>
        <w:spacing w:line="400" w:lineRule="exact"/>
        <w:ind w:firstLine="560" w:firstLineChars="200"/>
        <w:rPr>
          <w:rFonts w:hint="eastAsia"/>
          <w:b/>
          <w:bCs/>
          <w:color w:val="auto"/>
          <w:sz w:val="28"/>
          <w:szCs w:val="28"/>
        </w:rPr>
      </w:pPr>
      <w:bookmarkStart w:id="0" w:name="OLE_LINK1"/>
      <w:r>
        <w:rPr>
          <w:rFonts w:hint="eastAsia"/>
          <w:b/>
          <w:bCs/>
          <w:color w:val="auto"/>
          <w:sz w:val="28"/>
          <w:szCs w:val="28"/>
        </w:rPr>
        <w:t>（</w:t>
      </w:r>
      <w:r>
        <w:rPr>
          <w:rFonts w:hint="eastAsia"/>
          <w:b/>
          <w:bCs/>
          <w:color w:val="auto"/>
          <w:sz w:val="28"/>
          <w:szCs w:val="28"/>
          <w:lang w:val="en-US" w:eastAsia="zh-CN"/>
        </w:rPr>
        <w:t>7</w:t>
      </w:r>
      <w:r>
        <w:rPr>
          <w:rFonts w:hint="eastAsia"/>
          <w:b/>
          <w:bCs/>
          <w:color w:val="auto"/>
          <w:sz w:val="28"/>
          <w:szCs w:val="28"/>
        </w:rPr>
        <w:t>）投标单位提供的标书中有出现任何规定之外标记的做零分处理；</w:t>
      </w:r>
      <w:bookmarkEnd w:id="0"/>
    </w:p>
    <w:p>
      <w:pPr>
        <w:spacing w:line="400" w:lineRule="exact"/>
        <w:ind w:firstLine="560" w:firstLineChars="200"/>
        <w:rPr>
          <w:rFonts w:hint="eastAsia"/>
          <w:b/>
          <w:bCs/>
          <w:color w:val="auto"/>
          <w:sz w:val="28"/>
          <w:szCs w:val="28"/>
        </w:rPr>
      </w:pPr>
      <w:r>
        <w:rPr>
          <w:rFonts w:hint="eastAsia"/>
          <w:b/>
          <w:bCs/>
          <w:color w:val="auto"/>
          <w:sz w:val="28"/>
          <w:szCs w:val="28"/>
          <w:lang w:val="en-US" w:eastAsia="zh-CN"/>
        </w:rPr>
        <w:t>4、</w:t>
      </w:r>
      <w:r>
        <w:rPr>
          <w:rFonts w:hint="eastAsia"/>
          <w:b/>
          <w:bCs/>
          <w:color w:val="auto"/>
          <w:sz w:val="28"/>
          <w:szCs w:val="28"/>
        </w:rPr>
        <w:t>投标报价超出或低于招标文件确定的物业管理服务费报价范围的</w:t>
      </w:r>
      <w:r>
        <w:rPr>
          <w:rFonts w:hint="eastAsia"/>
          <w:b/>
          <w:bCs/>
          <w:color w:val="auto"/>
          <w:sz w:val="28"/>
          <w:szCs w:val="28"/>
          <w:lang w:val="en-US" w:eastAsia="zh-CN"/>
        </w:rPr>
        <w:t>投标单位所有文件作废标处理</w:t>
      </w:r>
      <w:r>
        <w:rPr>
          <w:rFonts w:hint="eastAsia"/>
          <w:b/>
          <w:bCs/>
          <w:color w:val="auto"/>
          <w:sz w:val="28"/>
          <w:szCs w:val="28"/>
        </w:rPr>
        <w:t>；</w:t>
      </w:r>
    </w:p>
    <w:p>
      <w:pPr>
        <w:spacing w:line="400" w:lineRule="exact"/>
        <w:ind w:firstLine="560" w:firstLineChars="200"/>
        <w:rPr>
          <w:rFonts w:hint="eastAsia"/>
          <w:color w:val="auto"/>
          <w:sz w:val="28"/>
          <w:szCs w:val="28"/>
        </w:rPr>
      </w:pPr>
      <w:r>
        <w:rPr>
          <w:rFonts w:hint="eastAsia"/>
          <w:color w:val="auto"/>
          <w:sz w:val="28"/>
          <w:szCs w:val="28"/>
          <w:lang w:val="en-US" w:eastAsia="zh-CN"/>
        </w:rPr>
        <w:t>5</w:t>
      </w:r>
      <w:r>
        <w:rPr>
          <w:rFonts w:hint="eastAsia"/>
          <w:color w:val="auto"/>
          <w:sz w:val="28"/>
          <w:szCs w:val="28"/>
        </w:rPr>
        <w:t>、招标人当众宣布核查投标文件密封和标志情况，并宣读有效标的投标单位和名称。</w:t>
      </w:r>
    </w:p>
    <w:p>
      <w:pPr>
        <w:spacing w:line="460" w:lineRule="exact"/>
        <w:jc w:val="center"/>
        <w:rPr>
          <w:rFonts w:hint="eastAsia"/>
          <w:b/>
          <w:bCs/>
          <w:sz w:val="30"/>
          <w:szCs w:val="30"/>
        </w:rPr>
      </w:pPr>
      <w:r>
        <w:rPr>
          <w:rFonts w:hint="eastAsia"/>
          <w:b/>
          <w:bCs/>
          <w:sz w:val="30"/>
          <w:szCs w:val="30"/>
        </w:rPr>
        <w:t>六、评    标</w:t>
      </w:r>
    </w:p>
    <w:p>
      <w:pPr>
        <w:spacing w:line="460" w:lineRule="exact"/>
        <w:ind w:firstLine="560" w:firstLineChars="200"/>
        <w:rPr>
          <w:rFonts w:hint="eastAsia"/>
          <w:sz w:val="28"/>
          <w:szCs w:val="28"/>
        </w:rPr>
      </w:pPr>
      <w:r>
        <w:rPr>
          <w:rFonts w:hint="eastAsia"/>
          <w:sz w:val="28"/>
          <w:szCs w:val="28"/>
        </w:rPr>
        <w:t>（十五）评标</w:t>
      </w:r>
    </w:p>
    <w:p>
      <w:pPr>
        <w:spacing w:line="460" w:lineRule="exact"/>
        <w:ind w:firstLine="560" w:firstLineChars="200"/>
        <w:rPr>
          <w:rFonts w:hint="eastAsia"/>
          <w:sz w:val="28"/>
          <w:szCs w:val="28"/>
        </w:rPr>
      </w:pPr>
      <w:r>
        <w:rPr>
          <w:rFonts w:hint="eastAsia"/>
          <w:sz w:val="28"/>
          <w:szCs w:val="28"/>
        </w:rPr>
        <w:t>1、评标工作</w:t>
      </w:r>
    </w:p>
    <w:p>
      <w:pPr>
        <w:spacing w:line="460" w:lineRule="exact"/>
        <w:ind w:firstLine="560" w:firstLineChars="200"/>
        <w:rPr>
          <w:rFonts w:hint="eastAsia"/>
          <w:sz w:val="28"/>
          <w:szCs w:val="28"/>
        </w:rPr>
      </w:pPr>
      <w:r>
        <w:rPr>
          <w:rFonts w:hint="eastAsia"/>
          <w:sz w:val="28"/>
          <w:szCs w:val="28"/>
        </w:rPr>
        <w:t>根据《中华人民共和国招标投标法》、《温州市物业管理项目招投标标办法》及有关规定，组成评标委员会，制定评标原则、评标办法。评标工作在永嘉县住房与城乡建设局的指导、现场监督下进行，由评标委员会负责完成。</w:t>
      </w:r>
    </w:p>
    <w:p>
      <w:pPr>
        <w:spacing w:line="460" w:lineRule="exact"/>
        <w:ind w:firstLine="560" w:firstLineChars="200"/>
        <w:rPr>
          <w:rFonts w:hint="eastAsia"/>
          <w:sz w:val="28"/>
          <w:szCs w:val="28"/>
        </w:rPr>
      </w:pPr>
      <w:r>
        <w:rPr>
          <w:rFonts w:hint="eastAsia"/>
          <w:sz w:val="28"/>
          <w:szCs w:val="28"/>
        </w:rPr>
        <w:t>2、评标办法</w:t>
      </w:r>
    </w:p>
    <w:p>
      <w:pPr>
        <w:spacing w:line="460" w:lineRule="exact"/>
        <w:ind w:firstLine="560" w:firstLineChars="200"/>
        <w:rPr>
          <w:rFonts w:hint="eastAsia"/>
          <w:sz w:val="28"/>
          <w:szCs w:val="28"/>
        </w:rPr>
      </w:pPr>
      <w:r>
        <w:rPr>
          <w:rFonts w:hint="eastAsia"/>
          <w:sz w:val="28"/>
          <w:szCs w:val="28"/>
        </w:rPr>
        <w:t>依据《</w:t>
      </w:r>
      <w:r>
        <w:rPr>
          <w:rFonts w:hint="eastAsia"/>
          <w:sz w:val="28"/>
          <w:szCs w:val="28"/>
          <w:u w:val="single"/>
          <w:lang w:eastAsia="zh-CN"/>
        </w:rPr>
        <w:t>星悦家园</w:t>
      </w:r>
      <w:r>
        <w:rPr>
          <w:rFonts w:hint="eastAsia"/>
          <w:sz w:val="28"/>
          <w:szCs w:val="28"/>
        </w:rPr>
        <w:t>物业管理招标评标办法》（附件一）进行评标。</w:t>
      </w:r>
    </w:p>
    <w:p>
      <w:pPr>
        <w:spacing w:line="460" w:lineRule="exact"/>
        <w:ind w:firstLine="560" w:firstLineChars="200"/>
        <w:rPr>
          <w:rFonts w:hint="eastAsia"/>
          <w:sz w:val="28"/>
          <w:szCs w:val="28"/>
        </w:rPr>
      </w:pPr>
      <w:r>
        <w:rPr>
          <w:rFonts w:hint="eastAsia"/>
          <w:sz w:val="28"/>
          <w:szCs w:val="28"/>
        </w:rPr>
        <w:t>3、评标、定标</w:t>
      </w:r>
    </w:p>
    <w:p>
      <w:pPr>
        <w:spacing w:line="460" w:lineRule="exact"/>
        <w:ind w:firstLine="560" w:firstLineChars="200"/>
        <w:rPr>
          <w:rFonts w:hint="eastAsia"/>
          <w:sz w:val="28"/>
          <w:szCs w:val="28"/>
        </w:rPr>
      </w:pPr>
      <w:r>
        <w:rPr>
          <w:rFonts w:hint="eastAsia"/>
          <w:sz w:val="28"/>
          <w:szCs w:val="28"/>
        </w:rPr>
        <w:t>（1）技术标副本的开标：在物业主管部门、招标人、投标单位法定代表人或委托人范围内当众验收，如无误者，即行开标。</w:t>
      </w:r>
    </w:p>
    <w:p>
      <w:pPr>
        <w:spacing w:line="460" w:lineRule="exact"/>
        <w:ind w:firstLine="560" w:firstLineChars="200"/>
        <w:rPr>
          <w:rFonts w:hint="eastAsia"/>
          <w:b/>
          <w:bCs/>
          <w:sz w:val="28"/>
        </w:rPr>
      </w:pPr>
      <w:r>
        <w:rPr>
          <w:rFonts w:hint="eastAsia"/>
          <w:sz w:val="28"/>
        </w:rPr>
        <w:t>（2）技术标、信誉标的阅标、评标：评标委员会委员独立对各投标单位技术标书进行审阅，研究各投标书的质量，分项进行打分，并有针对性地将各投标单位的投标书予以比较，进行评定。信誉标评分由评标委员会根据投标人提供信誉材料打分，如有不同意见，由评委会按“少数服从多数” 原则决议后，统一计分。阅标评标的次序为：先技术标、后信誉标</w:t>
      </w:r>
      <w:r>
        <w:rPr>
          <w:rFonts w:hint="eastAsia"/>
          <w:sz w:val="28"/>
          <w:lang w:eastAsia="zh-CN"/>
        </w:rPr>
        <w:t>、</w:t>
      </w:r>
      <w:r>
        <w:rPr>
          <w:rFonts w:hint="eastAsia"/>
          <w:b/>
          <w:bCs/>
          <w:sz w:val="28"/>
          <w:lang w:val="en-US" w:eastAsia="zh-CN"/>
        </w:rPr>
        <w:t>最后开商务标</w:t>
      </w:r>
      <w:r>
        <w:rPr>
          <w:rFonts w:hint="eastAsia"/>
          <w:b/>
          <w:bCs/>
          <w:sz w:val="28"/>
        </w:rPr>
        <w:t>。</w:t>
      </w:r>
    </w:p>
    <w:p>
      <w:pPr>
        <w:spacing w:line="460" w:lineRule="exact"/>
        <w:ind w:firstLine="560" w:firstLineChars="200"/>
        <w:rPr>
          <w:rFonts w:hint="eastAsia"/>
          <w:sz w:val="28"/>
          <w:szCs w:val="28"/>
        </w:rPr>
      </w:pPr>
      <w:r>
        <w:rPr>
          <w:rFonts w:hint="eastAsia"/>
          <w:sz w:val="28"/>
          <w:szCs w:val="28"/>
        </w:rPr>
        <w:t>（3）定标：由评标委员会成员根据评标办法进行打分后统一进行评分统计，并在开标现场当众宣布各标得分分数。确定中标单位和候选中标单位各1名。当中标单位放弃中标资格的，由候选中标单位中标，当候选中标单位放弃中标资格的，符合中标条件的第三名中标，出现放弃情形，依此类推选择，当所有投标单位均放弃资格时，判定本次招标无效。</w:t>
      </w:r>
    </w:p>
    <w:p>
      <w:pPr>
        <w:spacing w:line="460" w:lineRule="exact"/>
        <w:ind w:firstLine="560" w:firstLineChars="200"/>
        <w:rPr>
          <w:rFonts w:hint="eastAsia"/>
          <w:b/>
          <w:bCs/>
          <w:sz w:val="30"/>
          <w:szCs w:val="30"/>
        </w:rPr>
      </w:pPr>
      <w:r>
        <w:rPr>
          <w:rFonts w:hint="eastAsia"/>
          <w:sz w:val="28"/>
          <w:szCs w:val="28"/>
        </w:rPr>
        <w:t>评标会议结束后3日内，对中标结果如有异议，应以书面方式向所在地物业主管部门提出。定标中如发生严重显失公允，经所在地物业主管部门调查核实后，将根据规定要求招标人重新定标。</w:t>
      </w:r>
    </w:p>
    <w:p>
      <w:pPr>
        <w:spacing w:line="460" w:lineRule="exact"/>
        <w:jc w:val="center"/>
        <w:rPr>
          <w:rFonts w:hint="eastAsia"/>
          <w:b/>
          <w:bCs/>
          <w:sz w:val="30"/>
          <w:szCs w:val="30"/>
        </w:rPr>
      </w:pPr>
      <w:r>
        <w:rPr>
          <w:rFonts w:hint="eastAsia"/>
          <w:b/>
          <w:bCs/>
          <w:sz w:val="30"/>
          <w:szCs w:val="30"/>
        </w:rPr>
        <w:t>七、授予合同</w:t>
      </w:r>
    </w:p>
    <w:p>
      <w:pPr>
        <w:spacing w:line="460" w:lineRule="exact"/>
        <w:ind w:firstLine="560" w:firstLineChars="200"/>
        <w:rPr>
          <w:rFonts w:hint="eastAsia"/>
          <w:sz w:val="28"/>
          <w:szCs w:val="28"/>
        </w:rPr>
      </w:pPr>
      <w:r>
        <w:rPr>
          <w:rFonts w:hint="eastAsia"/>
          <w:sz w:val="28"/>
          <w:szCs w:val="28"/>
        </w:rPr>
        <w:t>（十六）中标通知书及备案</w:t>
      </w:r>
    </w:p>
    <w:p>
      <w:pPr>
        <w:spacing w:line="460" w:lineRule="exact"/>
        <w:ind w:firstLine="560" w:firstLineChars="200"/>
        <w:rPr>
          <w:rFonts w:hint="eastAsia"/>
          <w:sz w:val="28"/>
          <w:szCs w:val="28"/>
        </w:rPr>
      </w:pPr>
      <w:r>
        <w:rPr>
          <w:rFonts w:hint="eastAsia"/>
          <w:sz w:val="28"/>
          <w:szCs w:val="28"/>
        </w:rPr>
        <w:t>招标人在评标会议结束后3日后、投标有效期截至时限30日前确定中标单位，向中标人发出中标通知书，并于发出中标通知书15日内将评标报告及评标有关资料报送永嘉县住房与城乡建设局备案。</w:t>
      </w:r>
    </w:p>
    <w:p>
      <w:pPr>
        <w:spacing w:line="460" w:lineRule="exact"/>
        <w:ind w:firstLine="560" w:firstLineChars="200"/>
        <w:rPr>
          <w:rFonts w:hint="eastAsia"/>
          <w:sz w:val="28"/>
          <w:szCs w:val="28"/>
        </w:rPr>
      </w:pPr>
      <w:r>
        <w:rPr>
          <w:rFonts w:hint="eastAsia"/>
          <w:sz w:val="28"/>
          <w:szCs w:val="28"/>
        </w:rPr>
        <w:t>（十七）合同签订</w:t>
      </w:r>
    </w:p>
    <w:p>
      <w:pPr>
        <w:spacing w:line="460" w:lineRule="exact"/>
        <w:ind w:firstLine="560" w:firstLineChars="200"/>
        <w:rPr>
          <w:rFonts w:hint="eastAsia"/>
          <w:b w:val="0"/>
          <w:bCs/>
          <w:color w:val="auto"/>
          <w:sz w:val="28"/>
          <w:szCs w:val="28"/>
        </w:rPr>
      </w:pPr>
      <w:r>
        <w:rPr>
          <w:rFonts w:hint="eastAsia"/>
          <w:sz w:val="28"/>
          <w:szCs w:val="28"/>
        </w:rPr>
        <w:t>招标人和中标人自中标通知书发出后30日内，按照招标文件和中标人的投标文件订立书面合同</w:t>
      </w:r>
      <w:r>
        <w:rPr>
          <w:rFonts w:hint="eastAsia"/>
          <w:color w:val="auto"/>
          <w:sz w:val="28"/>
          <w:szCs w:val="28"/>
        </w:rPr>
        <w:t>，</w:t>
      </w:r>
      <w:r>
        <w:rPr>
          <w:rFonts w:hint="eastAsia"/>
          <w:b w:val="0"/>
          <w:bCs/>
          <w:color w:val="auto"/>
          <w:sz w:val="28"/>
          <w:szCs w:val="28"/>
        </w:rPr>
        <w:t xml:space="preserve">物业服务合同签订的内容，必须加项目经理的姓名及上岗证件编号。 </w:t>
      </w:r>
    </w:p>
    <w:p>
      <w:pPr>
        <w:spacing w:line="460" w:lineRule="exact"/>
        <w:jc w:val="center"/>
        <w:rPr>
          <w:rFonts w:hint="eastAsia"/>
          <w:b/>
          <w:bCs/>
          <w:sz w:val="28"/>
          <w:szCs w:val="28"/>
        </w:rPr>
      </w:pPr>
      <w:r>
        <w:rPr>
          <w:rFonts w:hint="eastAsia"/>
          <w:b/>
          <w:bCs/>
          <w:sz w:val="28"/>
          <w:szCs w:val="28"/>
        </w:rPr>
        <w:t>八、其他事项</w:t>
      </w:r>
    </w:p>
    <w:p>
      <w:pPr>
        <w:spacing w:line="460" w:lineRule="exact"/>
        <w:ind w:firstLine="560" w:firstLineChars="200"/>
        <w:rPr>
          <w:rFonts w:hint="eastAsia"/>
          <w:sz w:val="28"/>
          <w:szCs w:val="28"/>
        </w:rPr>
      </w:pPr>
      <w:r>
        <w:rPr>
          <w:rFonts w:hint="eastAsia"/>
          <w:sz w:val="28"/>
          <w:szCs w:val="28"/>
        </w:rPr>
        <w:t>（十八）各投标单位在投标期间，应严格遵守《中华人民共和国招标投标法》、《前期物业管理招标投标管理暂行办法》、《温州市物业管理项目招标投标办法》以及有关招标投标管理的法规，不得互相打听，互相串通，互相勾结，干扰招投标正常秩序，否则视为投标违纪行为。</w:t>
      </w:r>
    </w:p>
    <w:p>
      <w:pPr>
        <w:spacing w:line="460" w:lineRule="exact"/>
        <w:ind w:firstLine="560" w:firstLineChars="200"/>
        <w:rPr>
          <w:rFonts w:hint="eastAsia"/>
          <w:sz w:val="28"/>
          <w:szCs w:val="28"/>
        </w:rPr>
      </w:pPr>
      <w:r>
        <w:rPr>
          <w:rFonts w:hint="eastAsia"/>
          <w:sz w:val="28"/>
          <w:szCs w:val="28"/>
        </w:rPr>
        <w:t>（十九）各投标单位在编制投标书时，要认真理解招标文件及有关附件、通知、温州市招投标的有关规定及其他各种需要了解的情况。凡在本标文规定时间内未提出疑问的，由此而导致不中标或在中标后产生不利因素，其责任由投标单位自行负责。</w:t>
      </w:r>
    </w:p>
    <w:p>
      <w:pPr>
        <w:spacing w:line="460" w:lineRule="exact"/>
        <w:ind w:firstLine="630"/>
        <w:rPr>
          <w:rFonts w:hint="eastAsia"/>
          <w:color w:val="auto"/>
          <w:sz w:val="28"/>
          <w:szCs w:val="28"/>
        </w:rPr>
      </w:pPr>
      <w:r>
        <w:rPr>
          <w:rFonts w:hint="eastAsia"/>
          <w:color w:val="auto"/>
          <w:sz w:val="28"/>
          <w:szCs w:val="28"/>
        </w:rPr>
        <w:t>（二十）报名参加第一次投标的企业，如在项目开标前无故放弃该项目投标，致使该项目流标的，将取消该项目第二次招标报名资格。</w:t>
      </w:r>
    </w:p>
    <w:p>
      <w:pPr>
        <w:spacing w:line="460" w:lineRule="exact"/>
        <w:ind w:firstLine="630"/>
        <w:rPr>
          <w:rFonts w:hint="eastAsia"/>
          <w:color w:val="auto"/>
          <w:sz w:val="28"/>
          <w:szCs w:val="28"/>
        </w:rPr>
      </w:pPr>
      <w:r>
        <w:rPr>
          <w:rFonts w:hint="eastAsia"/>
          <w:color w:val="auto"/>
          <w:sz w:val="28"/>
          <w:szCs w:val="28"/>
        </w:rPr>
        <w:t>物业企业未报名或报名投标后又自愿退出投标致使该项目流标的将不做为最终协议选聘的对象。</w:t>
      </w:r>
    </w:p>
    <w:p>
      <w:pPr>
        <w:spacing w:line="460" w:lineRule="exact"/>
        <w:ind w:firstLine="630"/>
        <w:rPr>
          <w:rFonts w:hint="eastAsia"/>
          <w:color w:val="auto"/>
          <w:sz w:val="28"/>
          <w:szCs w:val="28"/>
        </w:rPr>
      </w:pPr>
      <w:r>
        <w:rPr>
          <w:rFonts w:hint="eastAsia"/>
          <w:color w:val="auto"/>
          <w:sz w:val="28"/>
          <w:szCs w:val="28"/>
        </w:rPr>
        <w:t>（二十一）投标截止时间届满时，投标人少于三家的，招标人应当依法重新组织招标。</w:t>
      </w:r>
    </w:p>
    <w:p>
      <w:pPr>
        <w:pStyle w:val="2"/>
        <w:rPr>
          <w:rFonts w:hint="eastAsia"/>
        </w:rPr>
      </w:pPr>
      <w:r>
        <w:rPr>
          <w:rFonts w:hint="eastAsia"/>
          <w:color w:val="auto"/>
          <w:sz w:val="28"/>
          <w:szCs w:val="28"/>
          <w:lang w:val="en-US" w:eastAsia="zh-CN"/>
        </w:rPr>
        <w:t xml:space="preserve">   （二十二）本次招标代理服务费由中标人在领取中标通知书时向招标代理机构一次性支付30000元招标代理服务费，招标代理服务费由中标单位支付。</w:t>
      </w:r>
    </w:p>
    <w:p>
      <w:pPr>
        <w:rPr>
          <w:rFonts w:hint="eastAsia"/>
          <w:sz w:val="28"/>
        </w:rPr>
      </w:pPr>
    </w:p>
    <w:p>
      <w:pPr>
        <w:rPr>
          <w:rFonts w:hint="eastAsia"/>
          <w:sz w:val="28"/>
        </w:rPr>
      </w:pPr>
    </w:p>
    <w:p>
      <w:pPr>
        <w:rPr>
          <w:rFonts w:hint="eastAsia"/>
          <w:sz w:val="28"/>
        </w:rPr>
      </w:pPr>
      <w:r>
        <w:rPr>
          <w:rFonts w:hint="eastAsia"/>
          <w:sz w:val="28"/>
        </w:rPr>
        <w:t>附件一</w:t>
      </w:r>
    </w:p>
    <w:p>
      <w:pPr>
        <w:jc w:val="center"/>
        <w:rPr>
          <w:rFonts w:hint="eastAsia" w:eastAsia="黑体"/>
          <w:sz w:val="36"/>
        </w:rPr>
      </w:pPr>
      <w:r>
        <w:rPr>
          <w:rFonts w:hint="eastAsia" w:eastAsia="黑体"/>
          <w:sz w:val="36"/>
          <w:u w:val="single"/>
        </w:rPr>
        <w:t xml:space="preserve"> </w:t>
      </w:r>
      <w:r>
        <w:rPr>
          <w:rFonts w:hint="eastAsia" w:eastAsia="黑体"/>
          <w:sz w:val="36"/>
          <w:u w:val="single"/>
          <w:lang w:eastAsia="zh-CN"/>
        </w:rPr>
        <w:t>星悦家园</w:t>
      </w:r>
      <w:r>
        <w:rPr>
          <w:rFonts w:hint="eastAsia" w:eastAsia="黑体"/>
          <w:sz w:val="36"/>
        </w:rPr>
        <w:t>物业管理项目招标评标办法</w:t>
      </w:r>
    </w:p>
    <w:p>
      <w:pPr>
        <w:spacing w:line="460" w:lineRule="exact"/>
        <w:ind w:firstLine="560" w:firstLineChars="200"/>
        <w:rPr>
          <w:rFonts w:hint="eastAsia"/>
          <w:sz w:val="28"/>
          <w:szCs w:val="28"/>
        </w:rPr>
      </w:pPr>
      <w:r>
        <w:rPr>
          <w:rFonts w:hint="eastAsia"/>
          <w:sz w:val="28"/>
          <w:szCs w:val="28"/>
        </w:rPr>
        <w:t>一、评标要求及说明</w:t>
      </w:r>
    </w:p>
    <w:p>
      <w:pPr>
        <w:spacing w:line="460" w:lineRule="exact"/>
        <w:ind w:firstLine="560" w:firstLineChars="200"/>
        <w:rPr>
          <w:rFonts w:hint="eastAsia"/>
          <w:sz w:val="28"/>
          <w:szCs w:val="28"/>
        </w:rPr>
      </w:pPr>
      <w:r>
        <w:rPr>
          <w:rFonts w:hint="eastAsia"/>
          <w:sz w:val="28"/>
          <w:szCs w:val="28"/>
        </w:rPr>
        <w:t>（一）评标委员会</w:t>
      </w:r>
      <w:r>
        <w:rPr>
          <w:sz w:val="28"/>
          <w:szCs w:val="28"/>
        </w:rPr>
        <w:t>(</w:t>
      </w:r>
      <w:r>
        <w:rPr>
          <w:rFonts w:hint="eastAsia"/>
          <w:sz w:val="28"/>
          <w:szCs w:val="28"/>
        </w:rPr>
        <w:t>以下简称评委会</w:t>
      </w:r>
      <w:r>
        <w:rPr>
          <w:sz w:val="28"/>
          <w:szCs w:val="28"/>
        </w:rPr>
        <w:t>)</w:t>
      </w:r>
      <w:r>
        <w:rPr>
          <w:rFonts w:hint="eastAsia"/>
          <w:sz w:val="28"/>
          <w:szCs w:val="28"/>
        </w:rPr>
        <w:t xml:space="preserve">由招标人（开发商）和专家组成，人数为 </w:t>
      </w:r>
      <w:r>
        <w:rPr>
          <w:rFonts w:hint="eastAsia"/>
          <w:sz w:val="28"/>
          <w:szCs w:val="28"/>
          <w:lang w:val="en-US" w:eastAsia="zh-CN"/>
        </w:rPr>
        <w:t>5</w:t>
      </w:r>
      <w:r>
        <w:rPr>
          <w:rFonts w:hint="eastAsia"/>
          <w:sz w:val="28"/>
          <w:szCs w:val="28"/>
        </w:rPr>
        <w:t xml:space="preserve">人，其中专家评委 </w:t>
      </w:r>
      <w:r>
        <w:rPr>
          <w:rFonts w:hint="eastAsia"/>
          <w:sz w:val="28"/>
          <w:szCs w:val="28"/>
          <w:lang w:val="en-US" w:eastAsia="zh-CN"/>
        </w:rPr>
        <w:t>5</w:t>
      </w:r>
      <w:r>
        <w:rPr>
          <w:rFonts w:hint="eastAsia"/>
          <w:sz w:val="28"/>
          <w:szCs w:val="28"/>
        </w:rPr>
        <w:t>人，</w:t>
      </w:r>
      <w:r>
        <w:rPr>
          <w:rFonts w:hint="eastAsia"/>
          <w:color w:val="FF0000"/>
          <w:sz w:val="28"/>
          <w:szCs w:val="28"/>
        </w:rPr>
        <w:t>招标人代表</w:t>
      </w:r>
      <w:r>
        <w:rPr>
          <w:rFonts w:hint="eastAsia"/>
          <w:color w:val="FF0000"/>
          <w:sz w:val="28"/>
          <w:szCs w:val="28"/>
          <w:lang w:val="en-US" w:eastAsia="zh-CN"/>
        </w:rPr>
        <w:t>0</w:t>
      </w:r>
      <w:r>
        <w:rPr>
          <w:rFonts w:hint="eastAsia"/>
          <w:color w:val="FF0000"/>
          <w:sz w:val="28"/>
          <w:szCs w:val="28"/>
        </w:rPr>
        <w:t>人，</w:t>
      </w:r>
      <w:r>
        <w:rPr>
          <w:rFonts w:hint="eastAsia"/>
          <w:sz w:val="28"/>
          <w:szCs w:val="28"/>
        </w:rPr>
        <w:t>评标工作在所在地物业主管部门监督下，由每位评委独立完成。</w:t>
      </w:r>
    </w:p>
    <w:p>
      <w:pPr>
        <w:spacing w:line="460" w:lineRule="exact"/>
        <w:ind w:firstLine="560" w:firstLineChars="200"/>
        <w:rPr>
          <w:rFonts w:hint="eastAsia"/>
          <w:sz w:val="28"/>
          <w:szCs w:val="28"/>
        </w:rPr>
      </w:pPr>
      <w:r>
        <w:rPr>
          <w:rFonts w:hint="eastAsia"/>
          <w:sz w:val="28"/>
          <w:szCs w:val="28"/>
        </w:rPr>
        <w:t>（二）对投标标函的要求</w:t>
      </w:r>
    </w:p>
    <w:p>
      <w:pPr>
        <w:spacing w:line="460" w:lineRule="exact"/>
        <w:ind w:firstLine="560" w:firstLineChars="200"/>
        <w:rPr>
          <w:rFonts w:hint="eastAsia"/>
          <w:sz w:val="28"/>
          <w:szCs w:val="28"/>
        </w:rPr>
      </w:pPr>
      <w:r>
        <w:rPr>
          <w:rFonts w:hint="eastAsia"/>
          <w:sz w:val="28"/>
          <w:szCs w:val="28"/>
        </w:rPr>
        <w:t>1、信誉标函一式</w:t>
      </w:r>
      <w:r>
        <w:rPr>
          <w:rFonts w:hint="eastAsia"/>
          <w:sz w:val="28"/>
          <w:szCs w:val="28"/>
          <w:u w:val="single"/>
        </w:rPr>
        <w:t xml:space="preserve"> </w:t>
      </w:r>
      <w:r>
        <w:rPr>
          <w:rFonts w:hint="eastAsia"/>
          <w:sz w:val="28"/>
          <w:szCs w:val="28"/>
          <w:u w:val="single"/>
          <w:lang w:val="en-US" w:eastAsia="zh-CN"/>
        </w:rPr>
        <w:t>伍</w:t>
      </w:r>
      <w:r>
        <w:rPr>
          <w:rFonts w:hint="eastAsia"/>
          <w:sz w:val="28"/>
          <w:szCs w:val="28"/>
          <w:u w:val="single"/>
        </w:rPr>
        <w:t xml:space="preserve"> </w:t>
      </w:r>
      <w:r>
        <w:rPr>
          <w:rFonts w:hint="eastAsia"/>
          <w:sz w:val="28"/>
          <w:szCs w:val="28"/>
        </w:rPr>
        <w:t>份，应单独密封，在封袋和投标履行承诺书</w:t>
      </w:r>
      <w:r>
        <w:rPr>
          <w:sz w:val="28"/>
          <w:szCs w:val="28"/>
        </w:rPr>
        <w:t>(</w:t>
      </w:r>
      <w:r>
        <w:rPr>
          <w:rFonts w:hint="eastAsia"/>
          <w:sz w:val="28"/>
          <w:szCs w:val="28"/>
        </w:rPr>
        <w:t>附件二</w:t>
      </w:r>
      <w:r>
        <w:rPr>
          <w:sz w:val="28"/>
          <w:szCs w:val="28"/>
        </w:rPr>
        <w:t>)</w:t>
      </w:r>
      <w:r>
        <w:rPr>
          <w:rFonts w:hint="eastAsia"/>
          <w:sz w:val="28"/>
          <w:szCs w:val="28"/>
        </w:rPr>
        <w:t>上加盖单位和法定代表人印鉴，在封袋上注明“信誉标”，并在封袋上贴上封条。</w:t>
      </w:r>
    </w:p>
    <w:p>
      <w:pPr>
        <w:spacing w:line="460" w:lineRule="exact"/>
        <w:ind w:firstLine="560" w:firstLineChars="200"/>
        <w:rPr>
          <w:rFonts w:hint="eastAsia"/>
          <w:sz w:val="28"/>
          <w:szCs w:val="28"/>
        </w:rPr>
      </w:pPr>
      <w:r>
        <w:rPr>
          <w:rFonts w:hint="eastAsia"/>
          <w:sz w:val="28"/>
          <w:szCs w:val="28"/>
        </w:rPr>
        <w:t>信誉标函封袋及封条由投标单位自行制作。</w:t>
      </w:r>
    </w:p>
    <w:p>
      <w:pPr>
        <w:spacing w:line="460" w:lineRule="exact"/>
        <w:ind w:firstLine="560" w:firstLineChars="200"/>
        <w:rPr>
          <w:rFonts w:hint="eastAsia"/>
          <w:sz w:val="28"/>
          <w:szCs w:val="28"/>
        </w:rPr>
      </w:pPr>
      <w:r>
        <w:rPr>
          <w:rFonts w:hint="eastAsia"/>
          <w:sz w:val="28"/>
          <w:szCs w:val="28"/>
        </w:rPr>
        <w:t>2、技术标函应编制一份正本、</w:t>
      </w:r>
      <w:r>
        <w:rPr>
          <w:rFonts w:hint="eastAsia"/>
          <w:sz w:val="28"/>
          <w:szCs w:val="28"/>
          <w:u w:val="single"/>
        </w:rPr>
        <w:t xml:space="preserve"> </w:t>
      </w:r>
      <w:r>
        <w:rPr>
          <w:rFonts w:hint="eastAsia"/>
          <w:sz w:val="28"/>
          <w:szCs w:val="28"/>
          <w:u w:val="single"/>
          <w:lang w:val="en-US" w:eastAsia="zh-CN"/>
        </w:rPr>
        <w:t>伍</w:t>
      </w:r>
      <w:r>
        <w:rPr>
          <w:rFonts w:hint="eastAsia"/>
          <w:sz w:val="28"/>
          <w:szCs w:val="28"/>
          <w:u w:val="single"/>
        </w:rPr>
        <w:t xml:space="preserve"> </w:t>
      </w:r>
      <w:r>
        <w:rPr>
          <w:rFonts w:hint="eastAsia"/>
          <w:sz w:val="28"/>
          <w:szCs w:val="28"/>
        </w:rPr>
        <w:t>份副本，分别封装。正本和副本内容应相一致。</w:t>
      </w:r>
    </w:p>
    <w:p>
      <w:pPr>
        <w:spacing w:line="460" w:lineRule="exact"/>
        <w:ind w:firstLine="560" w:firstLineChars="200"/>
        <w:rPr>
          <w:rFonts w:hint="eastAsia"/>
          <w:color w:val="auto"/>
          <w:sz w:val="28"/>
          <w:szCs w:val="28"/>
        </w:rPr>
      </w:pPr>
      <w:r>
        <w:rPr>
          <w:rFonts w:hint="eastAsia"/>
          <w:sz w:val="28"/>
          <w:szCs w:val="28"/>
        </w:rPr>
        <w:t>（1）</w:t>
      </w:r>
      <w:r>
        <w:rPr>
          <w:rFonts w:hint="eastAsia"/>
          <w:color w:val="000000"/>
          <w:sz w:val="28"/>
          <w:szCs w:val="28"/>
        </w:rPr>
        <w:t>正本应单独密封</w:t>
      </w:r>
      <w:r>
        <w:rPr>
          <w:rFonts w:hint="eastAsia"/>
          <w:color w:val="auto"/>
          <w:sz w:val="28"/>
          <w:szCs w:val="28"/>
        </w:rPr>
        <w:t>，在正本封面上注明“技术标正本”， 并加盖单位和法定代表人印鉴。在封袋上注明“技术标正本”，并在封袋上贴上封条，并加盖单位和法定代表人印鉴，技术标正本封面、封袋及封条由投标单位自制。</w:t>
      </w:r>
    </w:p>
    <w:p>
      <w:pPr>
        <w:spacing w:line="460" w:lineRule="exact"/>
        <w:ind w:firstLine="560" w:firstLineChars="200"/>
        <w:rPr>
          <w:rFonts w:hint="eastAsia"/>
          <w:b/>
          <w:bCs/>
          <w:sz w:val="28"/>
          <w:szCs w:val="28"/>
        </w:rPr>
      </w:pPr>
      <w:r>
        <w:rPr>
          <w:rFonts w:hint="eastAsia"/>
          <w:b/>
          <w:bCs/>
          <w:sz w:val="28"/>
          <w:szCs w:val="28"/>
        </w:rPr>
        <w:t>（2）副本统一采用A4白纸，（A4白纸封面，黑色打印，正文</w:t>
      </w:r>
      <w:r>
        <w:rPr>
          <w:rFonts w:hint="eastAsia"/>
          <w:b/>
          <w:bCs/>
          <w:sz w:val="28"/>
          <w:szCs w:val="28"/>
          <w:lang w:eastAsia="zh-CN"/>
        </w:rPr>
        <w:t>、</w:t>
      </w:r>
      <w:r>
        <w:rPr>
          <w:rFonts w:hint="eastAsia"/>
          <w:b/>
          <w:bCs/>
          <w:sz w:val="28"/>
          <w:szCs w:val="28"/>
        </w:rPr>
        <w:t>目录采用三号仿宋字体（不得加粗），正文</w:t>
      </w:r>
      <w:r>
        <w:rPr>
          <w:rFonts w:hint="eastAsia"/>
          <w:b/>
          <w:bCs/>
          <w:sz w:val="28"/>
          <w:szCs w:val="28"/>
          <w:lang w:eastAsia="zh-CN"/>
        </w:rPr>
        <w:t>、</w:t>
      </w:r>
      <w:r>
        <w:rPr>
          <w:rFonts w:hint="eastAsia"/>
          <w:b/>
          <w:bCs/>
          <w:sz w:val="28"/>
          <w:szCs w:val="28"/>
        </w:rPr>
        <w:t>目录数字及符号一律采用全角字符，表格（包括正文及附表）采用小四号仿宋字体（不得加粗），全套技术标函不得出现手写，且无涂改和行间插字，页码采用小5号阿拉伯数字标明在页脚的右下角处，除此以外，页眉、页脚处不得划线或做其他任何标识。</w:t>
      </w:r>
    </w:p>
    <w:p>
      <w:pPr>
        <w:spacing w:line="460" w:lineRule="exact"/>
        <w:ind w:firstLine="560" w:firstLineChars="200"/>
        <w:rPr>
          <w:rFonts w:hint="eastAsia"/>
          <w:b/>
          <w:bCs/>
          <w:sz w:val="28"/>
          <w:szCs w:val="28"/>
        </w:rPr>
      </w:pPr>
      <w:r>
        <w:rPr>
          <w:rFonts w:hint="eastAsia"/>
          <w:b/>
          <w:bCs/>
          <w:sz w:val="28"/>
          <w:szCs w:val="28"/>
        </w:rPr>
        <w:t>副本应侧面采用订书针装订，封面用粘贴方式，装入招标单位统一印制的封袋密封，贴上标书封条，副本及其封袋上不得注有投标单位名字或其他任何标志，不得盖有投标单位印章或者含有可能透露投标单位名称的内容，在文本及封面纸张外，不得加罩任何装饰。</w:t>
      </w:r>
    </w:p>
    <w:p>
      <w:pPr>
        <w:pStyle w:val="8"/>
        <w:spacing w:line="460" w:lineRule="exact"/>
        <w:rPr>
          <w:rFonts w:hint="eastAsia"/>
          <w:szCs w:val="28"/>
        </w:rPr>
      </w:pPr>
      <w:r>
        <w:rPr>
          <w:rFonts w:hint="eastAsia"/>
          <w:szCs w:val="28"/>
        </w:rPr>
        <w:t>副本封面、封袋及封条采用招标单位统一印制的封袋及封条，由投标人向招标单位（或代理机构）领取。</w:t>
      </w:r>
    </w:p>
    <w:p>
      <w:pPr>
        <w:spacing w:line="460" w:lineRule="exact"/>
        <w:ind w:firstLine="560" w:firstLineChars="200"/>
        <w:rPr>
          <w:rFonts w:hint="eastAsia"/>
          <w:b/>
          <w:bCs/>
          <w:sz w:val="28"/>
          <w:szCs w:val="28"/>
        </w:rPr>
      </w:pPr>
      <w:r>
        <w:rPr>
          <w:rFonts w:hint="eastAsia"/>
          <w:b/>
          <w:bCs/>
          <w:sz w:val="28"/>
          <w:szCs w:val="28"/>
        </w:rPr>
        <w:t>技术标正文不得超过25页</w:t>
      </w:r>
      <w:r>
        <w:rPr>
          <w:b/>
          <w:bCs/>
          <w:sz w:val="28"/>
          <w:szCs w:val="28"/>
        </w:rPr>
        <w:t>(</w:t>
      </w:r>
      <w:r>
        <w:rPr>
          <w:rFonts w:hint="eastAsia"/>
          <w:b/>
          <w:bCs/>
          <w:sz w:val="28"/>
          <w:szCs w:val="28"/>
        </w:rPr>
        <w:t>目录及附于正文后的图表不计入正文</w:t>
      </w:r>
      <w:r>
        <w:rPr>
          <w:b/>
          <w:bCs/>
          <w:sz w:val="28"/>
          <w:szCs w:val="28"/>
        </w:rPr>
        <w:t>)</w:t>
      </w:r>
      <w:r>
        <w:rPr>
          <w:rFonts w:hint="eastAsia"/>
          <w:b/>
          <w:bCs/>
          <w:sz w:val="28"/>
          <w:szCs w:val="28"/>
        </w:rPr>
        <w:t>，总页数不得超过2</w:t>
      </w:r>
      <w:r>
        <w:rPr>
          <w:rFonts w:hint="eastAsia"/>
          <w:b/>
          <w:bCs/>
          <w:sz w:val="28"/>
          <w:szCs w:val="28"/>
          <w:lang w:val="en-US" w:eastAsia="zh-CN"/>
        </w:rPr>
        <w:t>0</w:t>
      </w:r>
      <w:r>
        <w:rPr>
          <w:rFonts w:hint="eastAsia"/>
          <w:b/>
          <w:bCs/>
          <w:sz w:val="28"/>
          <w:szCs w:val="28"/>
        </w:rPr>
        <w:t>0页（不含目录及封面）。</w:t>
      </w:r>
    </w:p>
    <w:p>
      <w:pPr>
        <w:spacing w:line="460" w:lineRule="exact"/>
        <w:ind w:firstLine="560" w:firstLineChars="200"/>
        <w:rPr>
          <w:rFonts w:hint="eastAsia"/>
          <w:b/>
          <w:bCs/>
          <w:sz w:val="28"/>
          <w:szCs w:val="28"/>
        </w:rPr>
      </w:pPr>
      <w:r>
        <w:rPr>
          <w:rFonts w:hint="eastAsia"/>
          <w:b/>
          <w:bCs/>
          <w:sz w:val="28"/>
          <w:szCs w:val="28"/>
          <w:lang w:val="en-US" w:eastAsia="zh-CN"/>
        </w:rPr>
        <w:t>3</w:t>
      </w:r>
      <w:r>
        <w:rPr>
          <w:rFonts w:hint="eastAsia"/>
          <w:b/>
          <w:bCs/>
          <w:sz w:val="28"/>
          <w:szCs w:val="28"/>
        </w:rPr>
        <w:t>、商务标函一式</w:t>
      </w:r>
      <w:r>
        <w:rPr>
          <w:rFonts w:hint="eastAsia"/>
          <w:b/>
          <w:bCs/>
          <w:sz w:val="28"/>
          <w:szCs w:val="28"/>
          <w:u w:val="single"/>
          <w:lang w:val="en-US" w:eastAsia="zh-CN"/>
        </w:rPr>
        <w:t>伍</w:t>
      </w:r>
      <w:r>
        <w:rPr>
          <w:rFonts w:hint="eastAsia"/>
          <w:b/>
          <w:bCs/>
          <w:sz w:val="28"/>
          <w:szCs w:val="28"/>
        </w:rPr>
        <w:t>份，商务标应按照</w:t>
      </w:r>
      <w:r>
        <w:rPr>
          <w:rFonts w:hint="eastAsia"/>
          <w:b/>
          <w:bCs/>
          <w:sz w:val="28"/>
          <w:szCs w:val="28"/>
          <w:lang w:eastAsia="zh-CN"/>
        </w:rPr>
        <w:t>（</w:t>
      </w:r>
      <w:r>
        <w:rPr>
          <w:rFonts w:hint="eastAsia"/>
          <w:b/>
          <w:bCs/>
          <w:sz w:val="28"/>
          <w:szCs w:val="28"/>
          <w:lang w:val="en-US" w:eastAsia="zh-CN"/>
        </w:rPr>
        <w:t>附件八</w:t>
      </w:r>
      <w:r>
        <w:rPr>
          <w:rFonts w:hint="eastAsia"/>
          <w:b/>
          <w:bCs/>
          <w:sz w:val="28"/>
          <w:szCs w:val="28"/>
          <w:lang w:eastAsia="zh-CN"/>
        </w:rPr>
        <w:t>）</w:t>
      </w:r>
      <w:r>
        <w:rPr>
          <w:rFonts w:hint="eastAsia"/>
          <w:b/>
          <w:bCs/>
          <w:sz w:val="28"/>
          <w:szCs w:val="28"/>
        </w:rPr>
        <w:t>规定的格式进行填写，格式上标明需签字和盖章的地方必须有相关人员进行签字和盖章，否则按零分处理。</w:t>
      </w:r>
    </w:p>
    <w:p>
      <w:pPr>
        <w:spacing w:line="460" w:lineRule="exact"/>
        <w:ind w:firstLine="560" w:firstLineChars="200"/>
        <w:rPr>
          <w:rFonts w:hint="eastAsia"/>
          <w:b/>
          <w:bCs/>
          <w:sz w:val="28"/>
          <w:szCs w:val="28"/>
        </w:rPr>
      </w:pPr>
      <w:r>
        <w:rPr>
          <w:rFonts w:hint="eastAsia"/>
          <w:b/>
          <w:bCs/>
          <w:sz w:val="28"/>
          <w:szCs w:val="28"/>
        </w:rPr>
        <w:t>商务标应单独密封，在封袋上贴上封条，并加盖投标单位公章和法定代表人印鉴，商务标封面、封袋及封条由投标单位自制。</w:t>
      </w:r>
    </w:p>
    <w:p>
      <w:pPr>
        <w:spacing w:line="460" w:lineRule="exact"/>
        <w:ind w:firstLine="560" w:firstLineChars="200"/>
        <w:rPr>
          <w:rFonts w:hint="eastAsia"/>
          <w:sz w:val="28"/>
          <w:szCs w:val="28"/>
        </w:rPr>
      </w:pPr>
      <w:r>
        <w:rPr>
          <w:rFonts w:hint="eastAsia"/>
          <w:sz w:val="28"/>
          <w:szCs w:val="28"/>
          <w:lang w:val="en-US" w:eastAsia="zh-CN"/>
        </w:rPr>
        <w:t>4</w:t>
      </w:r>
      <w:r>
        <w:rPr>
          <w:rFonts w:hint="eastAsia"/>
          <w:sz w:val="28"/>
          <w:szCs w:val="28"/>
        </w:rPr>
        <w:t>、投标文件递交后，投标单位不得更改标书，或者提出其他要求。</w:t>
      </w:r>
    </w:p>
    <w:p>
      <w:pPr>
        <w:spacing w:line="460" w:lineRule="exact"/>
        <w:ind w:firstLine="560" w:firstLineChars="200"/>
        <w:rPr>
          <w:rFonts w:hint="eastAsia"/>
          <w:sz w:val="28"/>
          <w:szCs w:val="28"/>
        </w:rPr>
      </w:pPr>
      <w:r>
        <w:rPr>
          <w:rFonts w:hint="eastAsia"/>
          <w:sz w:val="28"/>
          <w:szCs w:val="28"/>
        </w:rPr>
        <w:t>二、评分标准</w:t>
      </w:r>
    </w:p>
    <w:p>
      <w:pPr>
        <w:spacing w:line="460" w:lineRule="exact"/>
        <w:ind w:firstLine="560" w:firstLineChars="200"/>
        <w:rPr>
          <w:rFonts w:hint="eastAsia"/>
          <w:sz w:val="28"/>
          <w:szCs w:val="28"/>
        </w:rPr>
      </w:pPr>
      <w:r>
        <w:rPr>
          <w:rFonts w:hint="eastAsia"/>
          <w:sz w:val="28"/>
          <w:szCs w:val="28"/>
        </w:rPr>
        <w:t>1、信誉标评分标准</w:t>
      </w:r>
    </w:p>
    <w:p>
      <w:pPr>
        <w:spacing w:line="460" w:lineRule="exact"/>
        <w:ind w:firstLine="560" w:firstLineChars="200"/>
        <w:rPr>
          <w:rFonts w:hint="eastAsia"/>
          <w:sz w:val="28"/>
          <w:szCs w:val="28"/>
        </w:rPr>
      </w:pPr>
      <w:r>
        <w:rPr>
          <w:rFonts w:hint="eastAsia"/>
          <w:sz w:val="28"/>
          <w:szCs w:val="28"/>
        </w:rPr>
        <w:t>信誉标由评委根据企业规模、综合技术实力、社会信誉、企业实际管理经营业绩和创优获奖情况及管理投标项目负责人管理业绩，按</w:t>
      </w:r>
      <w:r>
        <w:rPr>
          <w:sz w:val="28"/>
          <w:szCs w:val="28"/>
        </w:rPr>
        <w:t>(</w:t>
      </w:r>
      <w:r>
        <w:rPr>
          <w:rFonts w:hint="eastAsia"/>
          <w:sz w:val="28"/>
          <w:szCs w:val="28"/>
        </w:rPr>
        <w:t>附件四</w:t>
      </w:r>
      <w:r>
        <w:rPr>
          <w:sz w:val="28"/>
          <w:szCs w:val="28"/>
        </w:rPr>
        <w:t>)</w:t>
      </w:r>
      <w:r>
        <w:rPr>
          <w:rFonts w:hint="eastAsia"/>
          <w:sz w:val="28"/>
          <w:szCs w:val="28"/>
        </w:rPr>
        <w:t>所列内容进行评分。</w:t>
      </w:r>
    </w:p>
    <w:p>
      <w:pPr>
        <w:spacing w:line="460" w:lineRule="exact"/>
        <w:ind w:firstLine="560" w:firstLineChars="200"/>
        <w:rPr>
          <w:rFonts w:hint="eastAsia"/>
          <w:sz w:val="28"/>
          <w:szCs w:val="28"/>
        </w:rPr>
      </w:pPr>
      <w:r>
        <w:rPr>
          <w:rFonts w:hint="eastAsia"/>
          <w:sz w:val="28"/>
          <w:szCs w:val="28"/>
        </w:rPr>
        <w:t>2、技术标评分标准</w:t>
      </w:r>
    </w:p>
    <w:p>
      <w:pPr>
        <w:spacing w:line="460" w:lineRule="exact"/>
        <w:ind w:firstLine="560" w:firstLineChars="200"/>
        <w:rPr>
          <w:rFonts w:hint="eastAsia"/>
          <w:sz w:val="28"/>
          <w:szCs w:val="28"/>
        </w:rPr>
      </w:pPr>
      <w:r>
        <w:rPr>
          <w:rFonts w:hint="eastAsia"/>
          <w:sz w:val="28"/>
          <w:szCs w:val="28"/>
        </w:rPr>
        <w:t>技术标由评委根据物业管理机构设置及资源配置、管理方案、服务标准及费用测算、项目管理建议对策等情况进行横向比较，按</w:t>
      </w:r>
      <w:r>
        <w:rPr>
          <w:sz w:val="28"/>
          <w:szCs w:val="28"/>
        </w:rPr>
        <w:t>(</w:t>
      </w:r>
      <w:r>
        <w:rPr>
          <w:rFonts w:hint="eastAsia"/>
          <w:sz w:val="28"/>
          <w:szCs w:val="28"/>
        </w:rPr>
        <w:t>附件五</w:t>
      </w:r>
      <w:r>
        <w:rPr>
          <w:sz w:val="28"/>
          <w:szCs w:val="28"/>
        </w:rPr>
        <w:t>)</w:t>
      </w:r>
      <w:r>
        <w:rPr>
          <w:rFonts w:hint="eastAsia"/>
          <w:sz w:val="28"/>
          <w:szCs w:val="28"/>
        </w:rPr>
        <w:t>所列内容进行评分。</w:t>
      </w:r>
    </w:p>
    <w:p>
      <w:pPr>
        <w:numPr>
          <w:ilvl w:val="0"/>
          <w:numId w:val="3"/>
        </w:numPr>
        <w:spacing w:line="460" w:lineRule="exact"/>
        <w:ind w:firstLine="560" w:firstLineChars="200"/>
        <w:rPr>
          <w:rFonts w:hint="eastAsia"/>
          <w:sz w:val="28"/>
          <w:szCs w:val="28"/>
        </w:rPr>
      </w:pPr>
      <w:r>
        <w:rPr>
          <w:rFonts w:hint="eastAsia"/>
          <w:sz w:val="28"/>
          <w:szCs w:val="28"/>
        </w:rPr>
        <w:t>现场答辩</w:t>
      </w:r>
    </w:p>
    <w:p>
      <w:pPr>
        <w:spacing w:line="460" w:lineRule="exact"/>
        <w:ind w:firstLine="560" w:firstLineChars="200"/>
        <w:rPr>
          <w:rFonts w:hint="eastAsia"/>
          <w:sz w:val="28"/>
          <w:szCs w:val="28"/>
        </w:rPr>
      </w:pPr>
      <w:r>
        <w:rPr>
          <w:rFonts w:hint="eastAsia"/>
          <w:sz w:val="28"/>
          <w:szCs w:val="28"/>
        </w:rPr>
        <w:t>现场答辩在信誉标及技术标评分完毕后进行，此时可拆封管理技术标正本，与副本核对无误后，最后确定技术标函副本对应的投标单位，同时由投标人抽取答辩顺序，由评委根据事先准备好的题目，结合技术标中的具体情况进行提问。投标单位应对提问尽量给予圆满答复，由评委从语言表达，物业管理法规政策熟悉程度及物业管理业务水平等三方面，按</w:t>
      </w:r>
      <w:r>
        <w:rPr>
          <w:sz w:val="28"/>
          <w:szCs w:val="28"/>
        </w:rPr>
        <w:t>(</w:t>
      </w:r>
      <w:r>
        <w:rPr>
          <w:rFonts w:hint="eastAsia"/>
          <w:sz w:val="28"/>
          <w:szCs w:val="28"/>
        </w:rPr>
        <w:t>附件六</w:t>
      </w:r>
      <w:r>
        <w:rPr>
          <w:sz w:val="28"/>
          <w:szCs w:val="28"/>
        </w:rPr>
        <w:t>)</w:t>
      </w:r>
      <w:r>
        <w:rPr>
          <w:rFonts w:hint="eastAsia"/>
          <w:sz w:val="28"/>
          <w:szCs w:val="28"/>
        </w:rPr>
        <w:t>所列内容进行综合打分。</w:t>
      </w:r>
    </w:p>
    <w:p>
      <w:pPr>
        <w:spacing w:line="460" w:lineRule="exact"/>
        <w:ind w:firstLine="560" w:firstLineChars="200"/>
        <w:rPr>
          <w:rFonts w:hint="eastAsia"/>
          <w:sz w:val="28"/>
          <w:szCs w:val="28"/>
        </w:rPr>
      </w:pPr>
      <w:r>
        <w:rPr>
          <w:rFonts w:hint="eastAsia"/>
          <w:sz w:val="28"/>
          <w:szCs w:val="28"/>
        </w:rPr>
        <w:t>每个投标单位限3人参加答辩，其中：一名为法定代表人（或委托人），一名为标书中委派管理投标项目的项目负责人，另一名由投标单位自行确定。如果法定代表人确因故不能参加的，委托代理人必须持有并出示法定代表人签字或盖章并加盖单位公章的授权委托书和本人身份证。每个投标单位在评标会议前须提供参加答辩人员的简历</w:t>
      </w:r>
      <w:r>
        <w:rPr>
          <w:sz w:val="28"/>
          <w:szCs w:val="28"/>
        </w:rPr>
        <w:t>(</w:t>
      </w:r>
      <w:r>
        <w:rPr>
          <w:rFonts w:hint="eastAsia"/>
          <w:sz w:val="28"/>
          <w:szCs w:val="28"/>
        </w:rPr>
        <w:t>一式</w:t>
      </w:r>
      <w:r>
        <w:rPr>
          <w:rFonts w:hint="eastAsia"/>
          <w:sz w:val="28"/>
          <w:szCs w:val="28"/>
          <w:u w:val="single"/>
          <w:lang w:val="en-US" w:eastAsia="zh-CN"/>
        </w:rPr>
        <w:t>伍</w:t>
      </w:r>
      <w:r>
        <w:rPr>
          <w:rFonts w:hint="eastAsia"/>
          <w:sz w:val="28"/>
          <w:szCs w:val="28"/>
        </w:rPr>
        <w:t>份</w:t>
      </w:r>
      <w:r>
        <w:rPr>
          <w:sz w:val="28"/>
          <w:szCs w:val="28"/>
        </w:rPr>
        <w:t>)</w:t>
      </w:r>
      <w:r>
        <w:rPr>
          <w:rFonts w:hint="eastAsia"/>
          <w:sz w:val="28"/>
          <w:szCs w:val="28"/>
        </w:rPr>
        <w:t>。答辩时不得携带除招标文件、投标文件以外的任何书面材料。</w:t>
      </w:r>
    </w:p>
    <w:p>
      <w:pPr>
        <w:spacing w:line="460" w:lineRule="exact"/>
        <w:ind w:firstLine="560" w:firstLineChars="200"/>
        <w:rPr>
          <w:rFonts w:hint="default" w:eastAsia="宋体"/>
          <w:b/>
          <w:bCs/>
          <w:sz w:val="28"/>
          <w:szCs w:val="28"/>
          <w:lang w:val="en-US" w:eastAsia="zh-CN"/>
        </w:rPr>
      </w:pPr>
      <w:r>
        <w:rPr>
          <w:rFonts w:hint="eastAsia"/>
          <w:sz w:val="28"/>
          <w:szCs w:val="28"/>
          <w:lang w:val="en-US" w:eastAsia="zh-CN"/>
        </w:rPr>
        <w:t>4、</w:t>
      </w:r>
      <w:r>
        <w:rPr>
          <w:rFonts w:hint="eastAsia"/>
          <w:b/>
          <w:bCs/>
          <w:sz w:val="28"/>
          <w:szCs w:val="28"/>
          <w:lang w:val="en-US" w:eastAsia="zh-CN"/>
        </w:rPr>
        <w:t>商务标开启前，由永嘉县瓯北街道五星村股份经济合作社、永嘉县桥下镇瓯桥村股份经济合作社、永嘉县瓯北城市投资集团有限公司分别以档案袋密封形式提交商务标报价的平均价为基准价。投标单位商务标报价由基准价上浮或者下浮每1%扣1分，不足1%按1%计分。</w:t>
      </w:r>
    </w:p>
    <w:p>
      <w:pPr>
        <w:spacing w:line="460" w:lineRule="exact"/>
        <w:ind w:firstLine="560" w:firstLineChars="200"/>
        <w:rPr>
          <w:rFonts w:hint="eastAsia"/>
          <w:sz w:val="28"/>
          <w:szCs w:val="28"/>
        </w:rPr>
      </w:pPr>
      <w:r>
        <w:rPr>
          <w:rFonts w:hint="eastAsia"/>
          <w:sz w:val="28"/>
          <w:szCs w:val="28"/>
        </w:rPr>
        <w:t>每个投标单位现场答辩时间限为15分钟，每个问题的回答时间不超过3分钟，企业情况介绍以书面形式递交给专家评委组。</w:t>
      </w:r>
    </w:p>
    <w:p>
      <w:pPr>
        <w:spacing w:line="460" w:lineRule="exact"/>
        <w:ind w:firstLine="560" w:firstLineChars="200"/>
        <w:rPr>
          <w:rFonts w:hint="eastAsia"/>
          <w:sz w:val="28"/>
          <w:szCs w:val="28"/>
        </w:rPr>
      </w:pPr>
      <w:r>
        <w:rPr>
          <w:rFonts w:hint="eastAsia"/>
          <w:sz w:val="28"/>
          <w:szCs w:val="28"/>
          <w:lang w:val="en-US" w:eastAsia="zh-CN"/>
        </w:rPr>
        <w:t>5</w:t>
      </w:r>
      <w:r>
        <w:rPr>
          <w:rFonts w:hint="eastAsia"/>
          <w:sz w:val="28"/>
          <w:szCs w:val="28"/>
        </w:rPr>
        <w:t>、信誉标、技术标</w:t>
      </w:r>
      <w:r>
        <w:rPr>
          <w:rFonts w:hint="eastAsia"/>
          <w:sz w:val="28"/>
          <w:szCs w:val="28"/>
          <w:lang w:eastAsia="zh-CN"/>
        </w:rPr>
        <w:t>、</w:t>
      </w:r>
      <w:r>
        <w:rPr>
          <w:rFonts w:hint="eastAsia"/>
          <w:sz w:val="28"/>
          <w:szCs w:val="28"/>
          <w:lang w:val="en-US" w:eastAsia="zh-CN"/>
        </w:rPr>
        <w:t>商务标、</w:t>
      </w:r>
      <w:r>
        <w:rPr>
          <w:rFonts w:hint="eastAsia"/>
          <w:sz w:val="28"/>
          <w:szCs w:val="28"/>
        </w:rPr>
        <w:t>现场答辩每项满分100分，评委打分允许有效值为小数点后2位。</w:t>
      </w:r>
    </w:p>
    <w:p>
      <w:pPr>
        <w:spacing w:line="460" w:lineRule="exact"/>
        <w:ind w:firstLine="560" w:firstLineChars="200"/>
        <w:rPr>
          <w:rFonts w:hint="eastAsia"/>
          <w:sz w:val="28"/>
          <w:szCs w:val="28"/>
        </w:rPr>
      </w:pPr>
      <w:r>
        <w:rPr>
          <w:rFonts w:hint="eastAsia"/>
          <w:sz w:val="28"/>
          <w:szCs w:val="28"/>
        </w:rPr>
        <w:t>三、评分程序及定标</w:t>
      </w:r>
    </w:p>
    <w:p>
      <w:pPr>
        <w:spacing w:line="460" w:lineRule="exact"/>
        <w:ind w:firstLine="560" w:firstLineChars="200"/>
        <w:rPr>
          <w:rFonts w:hint="eastAsia"/>
          <w:sz w:val="28"/>
          <w:szCs w:val="28"/>
        </w:rPr>
      </w:pPr>
      <w:r>
        <w:rPr>
          <w:rFonts w:hint="eastAsia"/>
          <w:sz w:val="28"/>
          <w:szCs w:val="28"/>
        </w:rPr>
        <w:t>（一）符合要求的标函按期送达后，评委会于评标时对技术标函随机抽取进行编号。</w:t>
      </w:r>
    </w:p>
    <w:p>
      <w:pPr>
        <w:spacing w:line="460" w:lineRule="exact"/>
        <w:ind w:firstLine="560" w:firstLineChars="200"/>
        <w:rPr>
          <w:rFonts w:hint="eastAsia"/>
          <w:sz w:val="28"/>
          <w:szCs w:val="28"/>
        </w:rPr>
      </w:pPr>
      <w:r>
        <w:rPr>
          <w:rFonts w:hint="eastAsia"/>
          <w:sz w:val="28"/>
          <w:szCs w:val="28"/>
        </w:rPr>
        <w:t>（二）由评委会评委根据评分原则分别进行打分。并计算出各项平均分，有效值取小数点后</w:t>
      </w:r>
      <w:r>
        <w:rPr>
          <w:rFonts w:hint="eastAsia"/>
          <w:sz w:val="28"/>
          <w:szCs w:val="28"/>
          <w:lang w:val="en-US" w:eastAsia="zh-CN"/>
        </w:rPr>
        <w:t>2</w:t>
      </w:r>
      <w:r>
        <w:rPr>
          <w:rFonts w:hint="eastAsia"/>
          <w:sz w:val="28"/>
          <w:szCs w:val="28"/>
        </w:rPr>
        <w:t>位</w:t>
      </w:r>
      <w:r>
        <w:rPr>
          <w:sz w:val="28"/>
          <w:szCs w:val="28"/>
        </w:rPr>
        <w:t>(</w:t>
      </w:r>
      <w:r>
        <w:rPr>
          <w:rFonts w:hint="eastAsia"/>
          <w:sz w:val="28"/>
          <w:szCs w:val="28"/>
        </w:rPr>
        <w:t>末位四舍五入，下同</w:t>
      </w:r>
      <w:r>
        <w:rPr>
          <w:sz w:val="28"/>
          <w:szCs w:val="28"/>
        </w:rPr>
        <w:t>)</w:t>
      </w:r>
      <w:r>
        <w:rPr>
          <w:rFonts w:hint="eastAsia"/>
          <w:sz w:val="28"/>
          <w:szCs w:val="28"/>
        </w:rPr>
        <w:t>。</w:t>
      </w:r>
    </w:p>
    <w:p>
      <w:pPr>
        <w:spacing w:line="460" w:lineRule="exact"/>
        <w:ind w:firstLine="560" w:firstLineChars="200"/>
        <w:rPr>
          <w:rFonts w:hint="eastAsia"/>
          <w:sz w:val="28"/>
          <w:szCs w:val="28"/>
        </w:rPr>
      </w:pPr>
      <w:r>
        <w:rPr>
          <w:rFonts w:hint="eastAsia"/>
          <w:sz w:val="28"/>
          <w:szCs w:val="28"/>
        </w:rPr>
        <w:t>（三）各项打分结束后，由招标人（招标代理机构）进行评分统计</w:t>
      </w:r>
      <w:r>
        <w:rPr>
          <w:sz w:val="28"/>
          <w:szCs w:val="28"/>
        </w:rPr>
        <w:t>(</w:t>
      </w:r>
      <w:r>
        <w:rPr>
          <w:rFonts w:hint="eastAsia"/>
          <w:sz w:val="28"/>
          <w:szCs w:val="28"/>
        </w:rPr>
        <w:t>或用计算机进行</w:t>
      </w:r>
      <w:r>
        <w:rPr>
          <w:sz w:val="28"/>
          <w:szCs w:val="28"/>
        </w:rPr>
        <w:t>)</w:t>
      </w:r>
      <w:r>
        <w:rPr>
          <w:rFonts w:hint="eastAsia"/>
          <w:sz w:val="28"/>
          <w:szCs w:val="28"/>
        </w:rPr>
        <w:t>，各投标单位综合总得分计分算式如下：</w:t>
      </w:r>
    </w:p>
    <w:p>
      <w:pPr>
        <w:spacing w:line="460" w:lineRule="exact"/>
        <w:ind w:firstLine="560" w:firstLineChars="200"/>
        <w:rPr>
          <w:rFonts w:hint="eastAsia"/>
          <w:sz w:val="28"/>
          <w:szCs w:val="28"/>
        </w:rPr>
      </w:pPr>
      <w:r>
        <w:rPr>
          <w:rFonts w:hint="eastAsia"/>
          <w:sz w:val="28"/>
          <w:szCs w:val="28"/>
        </w:rPr>
        <w:t>综合总得分=信誉标平均分×</w:t>
      </w:r>
      <w:r>
        <w:rPr>
          <w:rFonts w:hint="eastAsia"/>
          <w:sz w:val="28"/>
          <w:szCs w:val="28"/>
          <w:lang w:val="en-US" w:eastAsia="zh-CN"/>
        </w:rPr>
        <w:t>15</w:t>
      </w:r>
      <w:r>
        <w:rPr>
          <w:rFonts w:hint="eastAsia"/>
          <w:sz w:val="28"/>
          <w:szCs w:val="28"/>
        </w:rPr>
        <w:t>%+技术标平均分×</w:t>
      </w:r>
      <w:r>
        <w:rPr>
          <w:rFonts w:hint="eastAsia"/>
          <w:sz w:val="28"/>
          <w:szCs w:val="28"/>
          <w:lang w:val="en-US" w:eastAsia="zh-CN"/>
        </w:rPr>
        <w:t>50</w:t>
      </w:r>
      <w:r>
        <w:rPr>
          <w:rFonts w:hint="eastAsia"/>
          <w:sz w:val="28"/>
          <w:szCs w:val="28"/>
        </w:rPr>
        <w:t>%+现场答辩平均分×</w:t>
      </w:r>
      <w:r>
        <w:rPr>
          <w:rFonts w:hint="eastAsia"/>
          <w:sz w:val="28"/>
          <w:szCs w:val="28"/>
          <w:lang w:val="en-US" w:eastAsia="zh-CN"/>
        </w:rPr>
        <w:t>15</w:t>
      </w:r>
      <w:r>
        <w:rPr>
          <w:rFonts w:hint="eastAsia"/>
          <w:sz w:val="28"/>
          <w:szCs w:val="28"/>
        </w:rPr>
        <w:t>%</w:t>
      </w:r>
      <w:r>
        <w:rPr>
          <w:rFonts w:hint="eastAsia"/>
          <w:sz w:val="28"/>
          <w:szCs w:val="28"/>
          <w:lang w:val="en-US" w:eastAsia="zh-CN"/>
        </w:rPr>
        <w:t>+商务标</w:t>
      </w:r>
      <w:r>
        <w:rPr>
          <w:rFonts w:hint="eastAsia"/>
          <w:sz w:val="28"/>
          <w:szCs w:val="28"/>
        </w:rPr>
        <w:t>×</w:t>
      </w:r>
      <w:r>
        <w:rPr>
          <w:rFonts w:hint="eastAsia"/>
          <w:sz w:val="28"/>
          <w:szCs w:val="28"/>
          <w:lang w:val="en-US" w:eastAsia="zh-CN"/>
        </w:rPr>
        <w:t>20%</w:t>
      </w:r>
      <w:r>
        <w:rPr>
          <w:rFonts w:hint="eastAsia"/>
          <w:sz w:val="28"/>
          <w:szCs w:val="28"/>
        </w:rPr>
        <w:t>。</w:t>
      </w:r>
    </w:p>
    <w:p>
      <w:pPr>
        <w:spacing w:line="460" w:lineRule="exact"/>
        <w:ind w:firstLine="560" w:firstLineChars="200"/>
        <w:rPr>
          <w:rFonts w:hint="eastAsia"/>
          <w:sz w:val="28"/>
          <w:szCs w:val="28"/>
        </w:rPr>
      </w:pPr>
      <w:r>
        <w:rPr>
          <w:rFonts w:hint="eastAsia"/>
          <w:sz w:val="28"/>
          <w:szCs w:val="28"/>
        </w:rPr>
        <w:t>评标委员会应在开标现场当众宣布</w:t>
      </w:r>
      <w:r>
        <w:rPr>
          <w:rFonts w:hint="eastAsia"/>
          <w:sz w:val="28"/>
          <w:szCs w:val="28"/>
          <w:lang w:val="en-US" w:eastAsia="zh-CN"/>
        </w:rPr>
        <w:t>四</w:t>
      </w:r>
      <w:r>
        <w:rPr>
          <w:rFonts w:hint="eastAsia"/>
          <w:sz w:val="28"/>
          <w:szCs w:val="28"/>
        </w:rPr>
        <w:t>项平均分和综合总得分分数。综合总得分有效值取小数点后3位，最高者为中标单位，若出现并列最高分，则对并列得分最高的投标单位按照技术标最高、现场答辩次高、信誉标最低的原则确定中标单位。若出现综合总分及各分项平均分并列最高，则由评委对并列最高的投标单位进行投票表决，票数超过半数者为中标单位。</w:t>
      </w:r>
    </w:p>
    <w:p>
      <w:pPr>
        <w:spacing w:line="460" w:lineRule="exact"/>
        <w:ind w:firstLine="560" w:firstLineChars="200"/>
        <w:rPr>
          <w:rFonts w:hint="eastAsia"/>
          <w:sz w:val="28"/>
        </w:rPr>
      </w:pPr>
      <w:r>
        <w:rPr>
          <w:rFonts w:hint="eastAsia"/>
          <w:sz w:val="28"/>
          <w:szCs w:val="28"/>
        </w:rPr>
        <w:t>按上述方法确定第二名为候选中标单位。</w:t>
      </w:r>
    </w:p>
    <w:p>
      <w:pPr>
        <w:rPr>
          <w:rFonts w:hint="eastAsia"/>
          <w:sz w:val="28"/>
        </w:rPr>
      </w:pPr>
    </w:p>
    <w:p>
      <w:pPr>
        <w:rPr>
          <w:rFonts w:hint="eastAsia"/>
          <w:sz w:val="28"/>
        </w:rPr>
      </w:pPr>
    </w:p>
    <w:p>
      <w:pPr>
        <w:pStyle w:val="2"/>
        <w:rPr>
          <w:rFonts w:hint="eastAsia"/>
          <w:sz w:val="28"/>
        </w:rPr>
      </w:pPr>
    </w:p>
    <w:p>
      <w:pPr>
        <w:rPr>
          <w:rFonts w:hint="eastAsia"/>
          <w:sz w:val="28"/>
        </w:rPr>
      </w:pPr>
    </w:p>
    <w:p>
      <w:pPr>
        <w:pStyle w:val="2"/>
        <w:rPr>
          <w:rFonts w:hint="eastAsia"/>
          <w:sz w:val="28"/>
        </w:rPr>
      </w:pPr>
    </w:p>
    <w:p>
      <w:pPr>
        <w:rPr>
          <w:rFonts w:hint="eastAsia"/>
          <w:sz w:val="28"/>
        </w:rPr>
      </w:pPr>
    </w:p>
    <w:p>
      <w:pPr>
        <w:pStyle w:val="2"/>
        <w:rPr>
          <w:rFonts w:hint="eastAsia"/>
          <w:sz w:val="28"/>
        </w:rPr>
      </w:pPr>
    </w:p>
    <w:p>
      <w:pPr>
        <w:rPr>
          <w:rFonts w:hint="eastAsia"/>
          <w:sz w:val="28"/>
        </w:rPr>
      </w:pPr>
    </w:p>
    <w:p>
      <w:pPr>
        <w:pStyle w:val="2"/>
        <w:rPr>
          <w:rFonts w:hint="eastAsia"/>
        </w:rPr>
      </w:pPr>
    </w:p>
    <w:p>
      <w:pPr>
        <w:rPr>
          <w:rFonts w:hint="eastAsia"/>
          <w:sz w:val="28"/>
        </w:rPr>
      </w:pPr>
      <w:r>
        <w:rPr>
          <w:rFonts w:hint="eastAsia"/>
          <w:sz w:val="28"/>
        </w:rPr>
        <w:t>附件二</w:t>
      </w:r>
    </w:p>
    <w:p>
      <w:pPr>
        <w:ind w:firstLine="540"/>
        <w:jc w:val="center"/>
        <w:rPr>
          <w:rFonts w:hint="eastAsia" w:eastAsia="黑体"/>
          <w:sz w:val="44"/>
        </w:rPr>
      </w:pPr>
      <w:r>
        <w:rPr>
          <w:rFonts w:hint="eastAsia" w:eastAsia="黑体"/>
          <w:sz w:val="44"/>
        </w:rPr>
        <w:t>投标履行承诺书</w:t>
      </w:r>
    </w:p>
    <w:p>
      <w:pPr>
        <w:ind w:firstLine="540"/>
        <w:jc w:val="center"/>
        <w:rPr>
          <w:rFonts w:hint="eastAsia" w:eastAsia="黑体"/>
          <w:sz w:val="44"/>
        </w:rPr>
      </w:pPr>
    </w:p>
    <w:p>
      <w:pPr>
        <w:ind w:firstLine="540"/>
        <w:rPr>
          <w:rFonts w:hint="eastAsia"/>
          <w:sz w:val="28"/>
        </w:rPr>
      </w:pPr>
      <w:r>
        <w:rPr>
          <w:rFonts w:hint="eastAsia"/>
          <w:sz w:val="28"/>
          <w:u w:val="single"/>
        </w:rPr>
        <w:t xml:space="preserve">                </w:t>
      </w:r>
      <w:r>
        <w:rPr>
          <w:rFonts w:hint="eastAsia"/>
          <w:sz w:val="28"/>
        </w:rPr>
        <w:t>：</w:t>
      </w:r>
    </w:p>
    <w:p>
      <w:pPr>
        <w:ind w:firstLine="540"/>
        <w:rPr>
          <w:rFonts w:hint="eastAsia"/>
          <w:sz w:val="28"/>
        </w:rPr>
      </w:pPr>
      <w:r>
        <w:rPr>
          <w:rFonts w:hint="eastAsia"/>
          <w:sz w:val="28"/>
        </w:rPr>
        <w:t>我公司详细研究了</w:t>
      </w:r>
      <w:r>
        <w:rPr>
          <w:rFonts w:hint="eastAsia"/>
          <w:sz w:val="28"/>
          <w:u w:val="single"/>
        </w:rPr>
        <w:t xml:space="preserve">                </w:t>
      </w:r>
      <w:r>
        <w:rPr>
          <w:rFonts w:hint="eastAsia"/>
          <w:sz w:val="28"/>
        </w:rPr>
        <w:t>物业管理项目的招标文件及有关附件，并进行了周密的勘察。现按招标文件规定，根据本公司综合实力和本物业项目的实际情况，编制投标书。我公司愿意以招标文件规定的方式，按投标文件规定的内容，承担本物业项目的管理及相关服务，委派</w:t>
      </w:r>
      <w:r>
        <w:rPr>
          <w:rFonts w:hint="eastAsia"/>
          <w:sz w:val="28"/>
          <w:u w:val="single"/>
        </w:rPr>
        <w:t xml:space="preserve">         </w:t>
      </w:r>
      <w:r>
        <w:rPr>
          <w:rFonts w:hint="eastAsia"/>
          <w:sz w:val="28"/>
        </w:rPr>
        <w:t>[上岗证号：      ]担任本物业项目的管理处主任</w:t>
      </w:r>
      <w:r>
        <w:rPr>
          <w:sz w:val="28"/>
        </w:rPr>
        <w:t>(</w:t>
      </w:r>
      <w:r>
        <w:rPr>
          <w:rFonts w:hint="eastAsia"/>
          <w:sz w:val="28"/>
        </w:rPr>
        <w:t>项目经理</w:t>
      </w:r>
      <w:r>
        <w:rPr>
          <w:sz w:val="28"/>
        </w:rPr>
        <w:t>)</w:t>
      </w:r>
      <w:r>
        <w:rPr>
          <w:rFonts w:hint="eastAsia"/>
          <w:sz w:val="28"/>
        </w:rPr>
        <w:t>，并已按要求认真填写了标书有关的内容和必要的说明。如能中标，我公司保证按招标文件的要求履行标书中的承诺</w:t>
      </w:r>
      <w:r>
        <w:rPr>
          <w:sz w:val="28"/>
        </w:rPr>
        <w:t>(</w:t>
      </w:r>
      <w:r>
        <w:rPr>
          <w:rFonts w:hint="eastAsia"/>
          <w:sz w:val="28"/>
        </w:rPr>
        <w:t>包括收费、管理、服务</w:t>
      </w:r>
      <w:r>
        <w:rPr>
          <w:sz w:val="28"/>
        </w:rPr>
        <w:t>)</w:t>
      </w:r>
      <w:r>
        <w:rPr>
          <w:rFonts w:hint="eastAsia"/>
          <w:sz w:val="28"/>
        </w:rPr>
        <w:t>，按时签订并认真履行物业管理委托合同。</w:t>
      </w:r>
    </w:p>
    <w:p>
      <w:pPr>
        <w:ind w:firstLine="540"/>
        <w:rPr>
          <w:rFonts w:hint="eastAsia"/>
          <w:sz w:val="28"/>
        </w:rPr>
      </w:pPr>
      <w:r>
        <w:rPr>
          <w:rFonts w:hint="eastAsia"/>
          <w:sz w:val="28"/>
        </w:rPr>
        <w:t>我公司郑重承诺，若在投标书送达截止日期后至定标过程中违反招标投标有关规定或擅自退出或不签订物业管理委托合同的，自愿放弃投标保证金的退还。</w:t>
      </w:r>
    </w:p>
    <w:p>
      <w:pPr>
        <w:ind w:firstLine="560" w:firstLineChars="200"/>
        <w:rPr>
          <w:rFonts w:hint="eastAsia"/>
          <w:sz w:val="28"/>
        </w:rPr>
      </w:pPr>
      <w:r>
        <w:rPr>
          <w:rFonts w:hint="eastAsia"/>
          <w:sz w:val="28"/>
        </w:rPr>
        <w:t xml:space="preserve">法定代表人或授权委托人：        </w:t>
      </w:r>
      <w:r>
        <w:rPr>
          <w:sz w:val="28"/>
        </w:rPr>
        <w:t>(</w:t>
      </w:r>
      <w:r>
        <w:rPr>
          <w:rFonts w:hint="eastAsia"/>
          <w:sz w:val="28"/>
        </w:rPr>
        <w:t>签章</w:t>
      </w:r>
      <w:r>
        <w:rPr>
          <w:sz w:val="28"/>
        </w:rPr>
        <w:t>)</w:t>
      </w:r>
    </w:p>
    <w:p>
      <w:pPr>
        <w:ind w:firstLine="3057" w:firstLineChars="1092"/>
        <w:rPr>
          <w:rFonts w:hint="eastAsia"/>
          <w:sz w:val="28"/>
        </w:rPr>
      </w:pPr>
    </w:p>
    <w:p>
      <w:pPr>
        <w:ind w:firstLine="560" w:firstLineChars="200"/>
        <w:rPr>
          <w:rFonts w:hint="eastAsia"/>
          <w:sz w:val="28"/>
        </w:rPr>
      </w:pPr>
      <w:r>
        <w:rPr>
          <w:rFonts w:hint="eastAsia"/>
          <w:sz w:val="28"/>
        </w:rPr>
        <w:t xml:space="preserve">投标单位：        </w:t>
      </w:r>
      <w:r>
        <w:rPr>
          <w:sz w:val="28"/>
        </w:rPr>
        <w:t>(</w:t>
      </w:r>
      <w:r>
        <w:rPr>
          <w:rFonts w:hint="eastAsia"/>
          <w:sz w:val="28"/>
        </w:rPr>
        <w:t>签章</w:t>
      </w:r>
      <w:r>
        <w:rPr>
          <w:sz w:val="28"/>
        </w:rPr>
        <w:t>)</w:t>
      </w:r>
    </w:p>
    <w:p>
      <w:pPr>
        <w:spacing w:line="400" w:lineRule="exact"/>
        <w:rPr>
          <w:rFonts w:hint="eastAsia"/>
          <w:sz w:val="28"/>
        </w:rPr>
      </w:pPr>
    </w:p>
    <w:p>
      <w:pPr>
        <w:spacing w:line="400" w:lineRule="exact"/>
        <w:rPr>
          <w:rFonts w:hint="eastAsia"/>
          <w:sz w:val="28"/>
        </w:rPr>
      </w:pPr>
    </w:p>
    <w:p>
      <w:pPr>
        <w:spacing w:line="400" w:lineRule="exact"/>
        <w:rPr>
          <w:rFonts w:hint="eastAsia"/>
          <w:sz w:val="28"/>
        </w:rPr>
      </w:pPr>
      <w:r>
        <w:rPr>
          <w:rFonts w:hint="eastAsia"/>
          <w:sz w:val="28"/>
        </w:rPr>
        <w:t xml:space="preserve">   </w:t>
      </w:r>
    </w:p>
    <w:p>
      <w:pPr>
        <w:spacing w:line="400" w:lineRule="exact"/>
        <w:rPr>
          <w:rFonts w:hint="eastAsia"/>
          <w:sz w:val="28"/>
        </w:rPr>
      </w:pPr>
    </w:p>
    <w:p>
      <w:pPr>
        <w:spacing w:line="400" w:lineRule="exact"/>
        <w:rPr>
          <w:rFonts w:hint="eastAsia"/>
          <w:sz w:val="28"/>
        </w:rPr>
      </w:pPr>
      <w:r>
        <w:rPr>
          <w:rFonts w:hint="eastAsia"/>
          <w:sz w:val="28"/>
        </w:rPr>
        <w:t xml:space="preserve">                                    日期：    年   月   日</w:t>
      </w:r>
    </w:p>
    <w:p>
      <w:pPr>
        <w:spacing w:line="400" w:lineRule="exact"/>
        <w:rPr>
          <w:rFonts w:hint="eastAsia"/>
          <w:sz w:val="30"/>
        </w:rPr>
      </w:pPr>
    </w:p>
    <w:p>
      <w:pPr>
        <w:pStyle w:val="2"/>
        <w:rPr>
          <w:rFonts w:hint="eastAsia"/>
          <w:sz w:val="30"/>
        </w:rPr>
      </w:pPr>
    </w:p>
    <w:p>
      <w:pPr>
        <w:rPr>
          <w:rFonts w:hint="eastAsia"/>
        </w:rPr>
      </w:pPr>
    </w:p>
    <w:p>
      <w:pPr>
        <w:spacing w:line="400" w:lineRule="exact"/>
        <w:rPr>
          <w:rFonts w:hint="eastAsia"/>
          <w:sz w:val="28"/>
        </w:rPr>
      </w:pPr>
      <w:r>
        <w:rPr>
          <w:rFonts w:hint="eastAsia"/>
          <w:sz w:val="30"/>
        </w:rPr>
        <w:t>附件三</w:t>
      </w:r>
    </w:p>
    <w:p>
      <w:pPr>
        <w:jc w:val="center"/>
        <w:rPr>
          <w:rFonts w:hint="eastAsia"/>
          <w:b/>
          <w:sz w:val="28"/>
          <w:szCs w:val="28"/>
        </w:rPr>
      </w:pPr>
      <w:r>
        <w:rPr>
          <w:rFonts w:hint="eastAsia"/>
          <w:b/>
          <w:sz w:val="28"/>
          <w:szCs w:val="28"/>
          <w:lang w:eastAsia="zh-CN"/>
        </w:rPr>
        <w:t>星悦家园</w:t>
      </w:r>
      <w:r>
        <w:rPr>
          <w:rFonts w:hint="eastAsia"/>
          <w:b/>
          <w:sz w:val="28"/>
          <w:szCs w:val="28"/>
        </w:rPr>
        <w:t>前期物业管理服务质量标准</w:t>
      </w:r>
    </w:p>
    <w:p>
      <w:pPr>
        <w:jc w:val="center"/>
        <w:rPr>
          <w:rFonts w:hint="eastAsia" w:eastAsia="黑体"/>
          <w:sz w:val="32"/>
          <w:szCs w:val="32"/>
        </w:rPr>
      </w:pPr>
      <w:r>
        <w:rPr>
          <w:rFonts w:hint="eastAsia" w:eastAsia="黑体"/>
          <w:sz w:val="32"/>
          <w:szCs w:val="32"/>
        </w:rPr>
        <w:t>三  级</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700"/>
      </w:tblGrid>
      <w:tr>
        <w:tblPrEx>
          <w:tblLayout w:type="fixed"/>
        </w:tblPrEx>
        <w:trPr>
          <w:trHeight w:val="615" w:hRule="atLeast"/>
        </w:trPr>
        <w:tc>
          <w:tcPr>
            <w:tcW w:w="1157" w:type="dxa"/>
            <w:vAlign w:val="center"/>
          </w:tcPr>
          <w:p>
            <w:pPr>
              <w:jc w:val="center"/>
              <w:rPr>
                <w:rFonts w:hint="eastAsia"/>
                <w:b/>
                <w:bCs/>
                <w:sz w:val="28"/>
              </w:rPr>
            </w:pPr>
            <w:r>
              <w:rPr>
                <w:rFonts w:hint="eastAsia"/>
                <w:b/>
                <w:bCs/>
                <w:sz w:val="28"/>
              </w:rPr>
              <w:t>项 目</w:t>
            </w:r>
          </w:p>
        </w:tc>
        <w:tc>
          <w:tcPr>
            <w:tcW w:w="7700" w:type="dxa"/>
            <w:vAlign w:val="center"/>
          </w:tcPr>
          <w:p>
            <w:pPr>
              <w:jc w:val="center"/>
              <w:rPr>
                <w:rFonts w:hint="eastAsia"/>
                <w:b/>
                <w:bCs/>
                <w:sz w:val="28"/>
              </w:rPr>
            </w:pPr>
            <w:r>
              <w:rPr>
                <w:rFonts w:hint="eastAsia"/>
                <w:b/>
                <w:bCs/>
                <w:sz w:val="28"/>
              </w:rPr>
              <w:t>内 容 与 标 准</w:t>
            </w:r>
          </w:p>
        </w:tc>
      </w:tr>
      <w:tr>
        <w:tblPrEx>
          <w:tblLayout w:type="fixed"/>
        </w:tblPrEx>
        <w:trPr>
          <w:trHeight w:val="5109" w:hRule="atLeast"/>
        </w:trPr>
        <w:tc>
          <w:tcPr>
            <w:tcW w:w="1157" w:type="dxa"/>
            <w:vAlign w:val="center"/>
          </w:tcPr>
          <w:p>
            <w:pPr>
              <w:jc w:val="center"/>
              <w:rPr>
                <w:rFonts w:hint="eastAsia"/>
                <w:b/>
                <w:bCs/>
                <w:sz w:val="24"/>
              </w:rPr>
            </w:pPr>
            <w:r>
              <w:rPr>
                <w:rFonts w:hint="eastAsia"/>
                <w:b/>
                <w:bCs/>
                <w:sz w:val="24"/>
              </w:rPr>
              <w:t>（一）</w:t>
            </w:r>
          </w:p>
          <w:p>
            <w:pPr>
              <w:jc w:val="center"/>
              <w:rPr>
                <w:rFonts w:hint="eastAsia"/>
                <w:b/>
                <w:bCs/>
                <w:sz w:val="24"/>
              </w:rPr>
            </w:pPr>
            <w:r>
              <w:rPr>
                <w:rFonts w:hint="eastAsia"/>
                <w:b/>
                <w:bCs/>
                <w:sz w:val="24"/>
              </w:rPr>
              <w:t>基</w:t>
            </w:r>
          </w:p>
          <w:p>
            <w:pPr>
              <w:jc w:val="center"/>
              <w:rPr>
                <w:rFonts w:hint="eastAsia"/>
                <w:b/>
                <w:bCs/>
                <w:sz w:val="24"/>
              </w:rPr>
            </w:pPr>
            <w:r>
              <w:rPr>
                <w:rFonts w:hint="eastAsia"/>
                <w:b/>
                <w:bCs/>
                <w:sz w:val="24"/>
              </w:rPr>
              <w:t>本</w:t>
            </w:r>
          </w:p>
          <w:p>
            <w:pPr>
              <w:jc w:val="center"/>
              <w:rPr>
                <w:rFonts w:hint="eastAsia"/>
                <w:b/>
                <w:bCs/>
                <w:sz w:val="24"/>
              </w:rPr>
            </w:pPr>
            <w:r>
              <w:rPr>
                <w:rFonts w:hint="eastAsia"/>
                <w:b/>
                <w:bCs/>
                <w:sz w:val="24"/>
              </w:rPr>
              <w:t>要</w:t>
            </w:r>
          </w:p>
          <w:p>
            <w:pPr>
              <w:jc w:val="center"/>
              <w:rPr>
                <w:rFonts w:hint="eastAsia"/>
                <w:sz w:val="28"/>
              </w:rPr>
            </w:pPr>
            <w:r>
              <w:rPr>
                <w:rFonts w:hint="eastAsia"/>
                <w:b/>
                <w:bCs/>
                <w:sz w:val="24"/>
              </w:rPr>
              <w:t>求</w:t>
            </w:r>
          </w:p>
        </w:tc>
        <w:tc>
          <w:tcPr>
            <w:tcW w:w="7700" w:type="dxa"/>
            <w:vAlign w:val="center"/>
          </w:tcPr>
          <w:p>
            <w:pPr>
              <w:numPr>
                <w:ilvl w:val="0"/>
                <w:numId w:val="4"/>
              </w:numPr>
              <w:ind w:right="109" w:rightChars="52"/>
              <w:rPr>
                <w:rFonts w:hint="eastAsia" w:eastAsia="仿宋_GB2312"/>
                <w:sz w:val="24"/>
              </w:rPr>
            </w:pPr>
            <w:r>
              <w:rPr>
                <w:rFonts w:hint="eastAsia" w:eastAsia="仿宋_GB2312"/>
                <w:sz w:val="24"/>
              </w:rPr>
              <w:t>服务与被服务双方签订规范的物业服务合同，双方权利义务关系明确。</w:t>
            </w:r>
          </w:p>
          <w:p>
            <w:pPr>
              <w:numPr>
                <w:ilvl w:val="0"/>
                <w:numId w:val="4"/>
              </w:numPr>
              <w:ind w:left="0" w:right="109" w:rightChars="52" w:firstLine="240" w:firstLineChars="100"/>
              <w:rPr>
                <w:rFonts w:hint="eastAsia" w:eastAsia="仿宋_GB2312"/>
                <w:sz w:val="24"/>
              </w:rPr>
            </w:pPr>
            <w:r>
              <w:rPr>
                <w:rFonts w:hint="eastAsia" w:eastAsia="仿宋_GB2312"/>
                <w:sz w:val="24"/>
              </w:rPr>
              <w:t>承接项目时，对住宅小区共用部位、共用设施设备进行认真查验，验收手续齐全。</w:t>
            </w:r>
          </w:p>
          <w:p>
            <w:pPr>
              <w:ind w:right="109" w:rightChars="52" w:firstLine="240" w:firstLineChars="100"/>
              <w:rPr>
                <w:rFonts w:hint="eastAsia" w:eastAsia="仿宋_GB2312"/>
                <w:sz w:val="24"/>
              </w:rPr>
            </w:pPr>
            <w:r>
              <w:rPr>
                <w:rFonts w:hint="eastAsia" w:eastAsia="仿宋_GB2312"/>
                <w:sz w:val="24"/>
              </w:rPr>
              <w:t>3、管理人员、专业操作人员按照国家有关规定取得物业管理职业资格证书或者岗位证书。</w:t>
            </w:r>
          </w:p>
          <w:p>
            <w:pPr>
              <w:ind w:right="109" w:rightChars="52" w:firstLine="240" w:firstLineChars="100"/>
              <w:rPr>
                <w:rFonts w:hint="eastAsia" w:eastAsia="仿宋_GB2312"/>
                <w:sz w:val="24"/>
              </w:rPr>
            </w:pPr>
            <w:r>
              <w:rPr>
                <w:rFonts w:hint="eastAsia" w:eastAsia="仿宋_GB2312"/>
                <w:sz w:val="24"/>
              </w:rPr>
              <w:t>4、有完善的物业管理方案，质量管理、财务管理、档案管理等制度健全。</w:t>
            </w:r>
          </w:p>
          <w:p>
            <w:pPr>
              <w:ind w:right="109" w:rightChars="52" w:firstLine="240" w:firstLineChars="100"/>
              <w:rPr>
                <w:rFonts w:hint="eastAsia" w:eastAsia="仿宋_GB2312"/>
                <w:sz w:val="24"/>
              </w:rPr>
            </w:pPr>
            <w:r>
              <w:rPr>
                <w:rFonts w:hint="eastAsia" w:eastAsia="仿宋_GB2312"/>
                <w:sz w:val="24"/>
              </w:rPr>
              <w:t>5、管理服务人员佩戴标志，行为规范，服务主动、热情。</w:t>
            </w:r>
          </w:p>
          <w:p>
            <w:pPr>
              <w:tabs>
                <w:tab w:val="left" w:pos="8172"/>
              </w:tabs>
              <w:ind w:right="96" w:rightChars="46" w:firstLine="240" w:firstLineChars="100"/>
              <w:rPr>
                <w:rFonts w:hint="eastAsia" w:eastAsia="仿宋_GB2312"/>
                <w:sz w:val="24"/>
              </w:rPr>
            </w:pPr>
            <w:r>
              <w:rPr>
                <w:rFonts w:hint="eastAsia" w:eastAsia="仿宋_GB2312"/>
                <w:sz w:val="24"/>
              </w:rPr>
              <w:t>6、公示8小时服务电话。报修按双方约定时间到达现场，有报修、维修记录。</w:t>
            </w:r>
          </w:p>
          <w:p>
            <w:pPr>
              <w:ind w:right="109" w:rightChars="52" w:firstLine="240" w:firstLineChars="100"/>
              <w:rPr>
                <w:rFonts w:hint="eastAsia" w:eastAsia="仿宋_GB2312"/>
                <w:sz w:val="24"/>
              </w:rPr>
            </w:pPr>
            <w:r>
              <w:rPr>
                <w:rFonts w:hint="eastAsia" w:eastAsia="仿宋_GB2312"/>
                <w:sz w:val="24"/>
              </w:rPr>
              <w:t>7、按有关规定和合同约定公布物业服务费用或者物业服务资金的收支情况。</w:t>
            </w:r>
          </w:p>
          <w:p>
            <w:pPr>
              <w:ind w:right="109" w:rightChars="52" w:firstLine="240" w:firstLineChars="100"/>
              <w:rPr>
                <w:rFonts w:hint="eastAsia" w:eastAsia="仿宋_GB2312"/>
                <w:sz w:val="24"/>
              </w:rPr>
            </w:pPr>
            <w:r>
              <w:rPr>
                <w:rFonts w:hint="eastAsia" w:eastAsia="仿宋_GB2312"/>
                <w:sz w:val="24"/>
              </w:rPr>
              <w:t>8、按合同约定规范使用住房专项维修资金。</w:t>
            </w:r>
          </w:p>
          <w:p>
            <w:pPr>
              <w:ind w:right="96" w:rightChars="46" w:firstLine="240" w:firstLineChars="100"/>
              <w:rPr>
                <w:rFonts w:hint="eastAsia"/>
              </w:rPr>
            </w:pPr>
            <w:r>
              <w:rPr>
                <w:rFonts w:hint="eastAsia" w:eastAsia="仿宋_GB2312"/>
                <w:sz w:val="24"/>
              </w:rPr>
              <w:t>9、每年至少1次征询业主对物业服务的意见，满意率70%以上。</w:t>
            </w:r>
          </w:p>
        </w:tc>
      </w:tr>
      <w:tr>
        <w:tblPrEx>
          <w:tblLayout w:type="fixed"/>
        </w:tblPrEx>
        <w:trPr>
          <w:trHeight w:val="6216" w:hRule="atLeast"/>
        </w:trPr>
        <w:tc>
          <w:tcPr>
            <w:tcW w:w="1157" w:type="dxa"/>
            <w:vAlign w:val="center"/>
          </w:tcPr>
          <w:p>
            <w:pPr>
              <w:jc w:val="center"/>
              <w:rPr>
                <w:rFonts w:hint="eastAsia"/>
                <w:b/>
                <w:bCs/>
                <w:sz w:val="24"/>
              </w:rPr>
            </w:pPr>
            <w:r>
              <w:rPr>
                <w:rFonts w:hint="eastAsia"/>
                <w:b/>
                <w:bCs/>
                <w:sz w:val="24"/>
              </w:rPr>
              <w:t>（二）</w:t>
            </w:r>
          </w:p>
          <w:p>
            <w:pPr>
              <w:jc w:val="center"/>
              <w:rPr>
                <w:rFonts w:hint="eastAsia"/>
                <w:b/>
                <w:bCs/>
                <w:sz w:val="24"/>
              </w:rPr>
            </w:pPr>
            <w:r>
              <w:rPr>
                <w:rFonts w:hint="eastAsia"/>
                <w:b/>
                <w:bCs/>
                <w:sz w:val="24"/>
              </w:rPr>
              <w:t>房</w:t>
            </w:r>
          </w:p>
          <w:p>
            <w:pPr>
              <w:jc w:val="center"/>
              <w:rPr>
                <w:rFonts w:hint="eastAsia"/>
                <w:b/>
                <w:bCs/>
                <w:sz w:val="24"/>
              </w:rPr>
            </w:pPr>
            <w:r>
              <w:rPr>
                <w:rFonts w:hint="eastAsia"/>
                <w:b/>
                <w:bCs/>
                <w:sz w:val="24"/>
              </w:rPr>
              <w:t>屋</w:t>
            </w:r>
          </w:p>
          <w:p>
            <w:pPr>
              <w:jc w:val="center"/>
              <w:rPr>
                <w:rFonts w:hint="eastAsia"/>
                <w:b/>
                <w:bCs/>
                <w:sz w:val="24"/>
              </w:rPr>
            </w:pPr>
            <w:r>
              <w:rPr>
                <w:rFonts w:hint="eastAsia"/>
                <w:b/>
                <w:bCs/>
                <w:sz w:val="24"/>
              </w:rPr>
              <w:t>管</w:t>
            </w:r>
          </w:p>
          <w:p>
            <w:pPr>
              <w:jc w:val="center"/>
              <w:rPr>
                <w:rFonts w:hint="eastAsia"/>
                <w:sz w:val="28"/>
              </w:rPr>
            </w:pPr>
            <w:r>
              <w:rPr>
                <w:rFonts w:hint="eastAsia"/>
                <w:b/>
                <w:bCs/>
                <w:sz w:val="24"/>
              </w:rPr>
              <w:t>理</w:t>
            </w:r>
          </w:p>
        </w:tc>
        <w:tc>
          <w:tcPr>
            <w:tcW w:w="7700" w:type="dxa"/>
            <w:vAlign w:val="center"/>
          </w:tcPr>
          <w:p>
            <w:pPr>
              <w:ind w:right="109" w:rightChars="52" w:firstLine="240" w:firstLineChars="100"/>
              <w:rPr>
                <w:rFonts w:hint="eastAsia" w:eastAsia="仿宋_GB2312"/>
                <w:sz w:val="24"/>
              </w:rPr>
            </w:pPr>
            <w:r>
              <w:rPr>
                <w:rFonts w:hint="eastAsia" w:eastAsia="仿宋_GB2312"/>
                <w:sz w:val="24"/>
              </w:rPr>
              <w:t>1、对房屋共用部位进行日常管理和维修养护，检修记录和保养记录齐全。</w:t>
            </w:r>
          </w:p>
          <w:p>
            <w:pPr>
              <w:ind w:right="109" w:rightChars="52" w:firstLine="240" w:firstLineChars="100"/>
              <w:rPr>
                <w:rFonts w:hint="eastAsia" w:eastAsia="仿宋_GB2312"/>
                <w:sz w:val="24"/>
              </w:rPr>
            </w:pPr>
            <w:r>
              <w:rPr>
                <w:rFonts w:hint="eastAsia" w:eastAsia="仿宋_GB2312"/>
                <w:sz w:val="24"/>
              </w:rPr>
              <w:t>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right="96" w:rightChars="46" w:firstLine="240" w:firstLineChars="100"/>
              <w:rPr>
                <w:rFonts w:hint="eastAsia" w:eastAsia="仿宋_GB2312"/>
                <w:sz w:val="24"/>
              </w:rPr>
            </w:pPr>
            <w:r>
              <w:rPr>
                <w:rFonts w:hint="eastAsia" w:eastAsia="仿宋_GB2312"/>
                <w:sz w:val="24"/>
              </w:rPr>
              <w:t>3、每周巡查1次小区房屋单元门、楼梯通道以及其他共用部位的门窗、玻璃等，定期维修养护。</w:t>
            </w:r>
          </w:p>
          <w:p>
            <w:pPr>
              <w:ind w:right="109" w:rightChars="52" w:firstLine="240" w:firstLineChars="100"/>
              <w:rPr>
                <w:rFonts w:hint="eastAsia" w:eastAsia="仿宋_GB2312"/>
                <w:sz w:val="24"/>
              </w:rPr>
            </w:pPr>
            <w:r>
              <w:rPr>
                <w:rFonts w:hint="eastAsia" w:eastAsia="仿宋_GB2312"/>
                <w:sz w:val="24"/>
              </w:rPr>
              <w:t>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right="109" w:rightChars="52" w:firstLine="240" w:firstLineChars="100"/>
              <w:rPr>
                <w:rFonts w:hint="eastAsia" w:eastAsia="仿宋_GB2312"/>
                <w:sz w:val="24"/>
              </w:rPr>
            </w:pPr>
            <w:r>
              <w:rPr>
                <w:rFonts w:hint="eastAsia" w:eastAsia="仿宋_GB2312"/>
                <w:sz w:val="24"/>
              </w:rPr>
              <w:t>5、对违反规划私搭乱建和擅自改变房屋用途的行为及时劝阻，并报告业主委员会和有关主管部门。</w:t>
            </w:r>
          </w:p>
          <w:p>
            <w:pPr>
              <w:ind w:right="96" w:rightChars="46" w:firstLine="240" w:firstLineChars="100"/>
              <w:rPr>
                <w:rFonts w:hint="eastAsia"/>
              </w:rPr>
            </w:pPr>
            <w:r>
              <w:rPr>
                <w:rFonts w:hint="eastAsia" w:eastAsia="仿宋_GB2312"/>
                <w:sz w:val="24"/>
              </w:rPr>
              <w:t>6、各组团、栋、单元（门）、户有明显标志。</w:t>
            </w:r>
          </w:p>
        </w:tc>
      </w:tr>
      <w:tr>
        <w:tblPrEx>
          <w:tblLayout w:type="fixed"/>
        </w:tblPrEx>
        <w:trPr>
          <w:trHeight w:val="5442" w:hRule="atLeast"/>
        </w:trPr>
        <w:tc>
          <w:tcPr>
            <w:tcW w:w="1157" w:type="dxa"/>
            <w:vAlign w:val="center"/>
          </w:tcPr>
          <w:p>
            <w:pPr>
              <w:jc w:val="center"/>
              <w:rPr>
                <w:rFonts w:hint="eastAsia"/>
                <w:b/>
                <w:bCs/>
                <w:sz w:val="24"/>
              </w:rPr>
            </w:pPr>
            <w:r>
              <w:rPr>
                <w:rFonts w:hint="eastAsia"/>
                <w:b/>
                <w:bCs/>
                <w:sz w:val="24"/>
              </w:rPr>
              <w:t>（三）</w:t>
            </w:r>
          </w:p>
          <w:p>
            <w:pPr>
              <w:jc w:val="center"/>
              <w:rPr>
                <w:rFonts w:hint="eastAsia"/>
                <w:b/>
                <w:bCs/>
                <w:sz w:val="24"/>
              </w:rPr>
            </w:pPr>
            <w:r>
              <w:rPr>
                <w:rFonts w:hint="eastAsia"/>
                <w:b/>
                <w:bCs/>
                <w:sz w:val="24"/>
              </w:rPr>
              <w:t>共用</w:t>
            </w:r>
          </w:p>
          <w:p>
            <w:pPr>
              <w:jc w:val="center"/>
              <w:rPr>
                <w:rFonts w:hint="eastAsia"/>
                <w:b/>
                <w:bCs/>
                <w:sz w:val="24"/>
              </w:rPr>
            </w:pPr>
            <w:r>
              <w:rPr>
                <w:rFonts w:hint="eastAsia"/>
                <w:b/>
                <w:bCs/>
                <w:sz w:val="24"/>
              </w:rPr>
              <w:t>设施</w:t>
            </w:r>
          </w:p>
          <w:p>
            <w:pPr>
              <w:jc w:val="center"/>
              <w:rPr>
                <w:rFonts w:hint="eastAsia"/>
                <w:b/>
                <w:bCs/>
                <w:sz w:val="24"/>
              </w:rPr>
            </w:pPr>
            <w:r>
              <w:rPr>
                <w:rFonts w:hint="eastAsia"/>
                <w:b/>
                <w:bCs/>
                <w:sz w:val="24"/>
              </w:rPr>
              <w:t>设备</w:t>
            </w:r>
          </w:p>
          <w:p>
            <w:pPr>
              <w:jc w:val="center"/>
              <w:rPr>
                <w:rFonts w:hint="eastAsia"/>
                <w:b/>
                <w:bCs/>
                <w:sz w:val="24"/>
              </w:rPr>
            </w:pPr>
            <w:r>
              <w:rPr>
                <w:rFonts w:hint="eastAsia"/>
                <w:b/>
                <w:bCs/>
                <w:sz w:val="24"/>
              </w:rPr>
              <w:t>维修</w:t>
            </w:r>
          </w:p>
          <w:p>
            <w:pPr>
              <w:jc w:val="center"/>
              <w:rPr>
                <w:rFonts w:hint="eastAsia"/>
                <w:sz w:val="28"/>
              </w:rPr>
            </w:pPr>
            <w:r>
              <w:rPr>
                <w:rFonts w:hint="eastAsia"/>
                <w:b/>
                <w:bCs/>
                <w:sz w:val="24"/>
              </w:rPr>
              <w:t>养护</w:t>
            </w:r>
          </w:p>
        </w:tc>
        <w:tc>
          <w:tcPr>
            <w:tcW w:w="7700" w:type="dxa"/>
            <w:vAlign w:val="center"/>
          </w:tcPr>
          <w:p>
            <w:pPr>
              <w:ind w:right="71" w:rightChars="34" w:firstLine="240" w:firstLineChars="100"/>
              <w:rPr>
                <w:rFonts w:hint="eastAsia" w:eastAsia="仿宋_GB2312"/>
                <w:sz w:val="24"/>
              </w:rPr>
            </w:pPr>
            <w:r>
              <w:rPr>
                <w:rFonts w:hint="eastAsia" w:eastAsia="仿宋_GB2312"/>
                <w:sz w:val="24"/>
              </w:rPr>
              <w:t>1、对共用设施设备进行日常管理和维修养护（依法应由专业部门负责的除外）。</w:t>
            </w:r>
          </w:p>
          <w:p>
            <w:pPr>
              <w:ind w:right="71" w:rightChars="34" w:firstLine="240" w:firstLineChars="100"/>
              <w:rPr>
                <w:rFonts w:hint="eastAsia" w:eastAsia="仿宋_GB2312"/>
                <w:sz w:val="24"/>
              </w:rPr>
            </w:pPr>
            <w:r>
              <w:rPr>
                <w:rFonts w:hint="eastAsia" w:eastAsia="仿宋_GB2312"/>
                <w:sz w:val="24"/>
              </w:rPr>
              <w:t>2、建立共用设施设备档案（设备台帐），设施设备的运行、检修等记录齐全。</w:t>
            </w:r>
          </w:p>
          <w:p>
            <w:pPr>
              <w:ind w:right="71" w:rightChars="34" w:firstLine="240" w:firstLineChars="100"/>
              <w:rPr>
                <w:rFonts w:hint="eastAsia" w:eastAsia="仿宋_GB2312"/>
                <w:sz w:val="24"/>
              </w:rPr>
            </w:pPr>
            <w:r>
              <w:rPr>
                <w:rFonts w:hint="eastAsia" w:eastAsia="仿宋_GB2312"/>
                <w:sz w:val="24"/>
              </w:rPr>
              <w:t>3、操作维护人员严格执行设施设备操作规程及保养规范；设施设备运行正常。</w:t>
            </w:r>
          </w:p>
          <w:p>
            <w:pPr>
              <w:ind w:right="71" w:rightChars="34" w:firstLine="240" w:firstLineChars="100"/>
              <w:rPr>
                <w:rFonts w:hint="eastAsia" w:eastAsia="仿宋_GB2312"/>
                <w:sz w:val="24"/>
              </w:rPr>
            </w:pPr>
            <w:r>
              <w:rPr>
                <w:rFonts w:hint="eastAsia" w:eastAsia="仿宋_GB2312"/>
                <w:sz w:val="24"/>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right="71" w:rightChars="34" w:firstLine="240" w:firstLineChars="100"/>
              <w:rPr>
                <w:rFonts w:hint="eastAsia" w:eastAsia="仿宋_GB2312"/>
                <w:sz w:val="24"/>
              </w:rPr>
            </w:pPr>
            <w:r>
              <w:rPr>
                <w:rFonts w:hint="eastAsia" w:eastAsia="仿宋_GB2312"/>
                <w:sz w:val="24"/>
              </w:rPr>
              <w:t>5、载人电梯早6点至晚12点正常运行。</w:t>
            </w:r>
          </w:p>
          <w:p>
            <w:pPr>
              <w:ind w:right="71" w:rightChars="34" w:firstLine="240" w:firstLineChars="100"/>
              <w:rPr>
                <w:rFonts w:hint="eastAsia" w:eastAsia="仿宋_GB2312"/>
                <w:sz w:val="24"/>
              </w:rPr>
            </w:pPr>
            <w:r>
              <w:rPr>
                <w:rFonts w:hint="eastAsia" w:eastAsia="仿宋_GB2312"/>
                <w:sz w:val="24"/>
              </w:rPr>
              <w:t>6、消防设施设备完好，可随时启用；消防通道畅通。</w:t>
            </w:r>
          </w:p>
          <w:p>
            <w:pPr>
              <w:ind w:right="71" w:rightChars="34" w:firstLine="240" w:firstLineChars="100"/>
              <w:rPr>
                <w:rFonts w:hint="eastAsia" w:eastAsia="仿宋_GB2312"/>
                <w:sz w:val="24"/>
              </w:rPr>
            </w:pPr>
            <w:r>
              <w:rPr>
                <w:rFonts w:hint="eastAsia" w:eastAsia="仿宋_GB2312"/>
                <w:sz w:val="24"/>
              </w:rPr>
              <w:t>7、路灯、楼道灯完好率不低于80%。</w:t>
            </w:r>
          </w:p>
          <w:p>
            <w:pPr>
              <w:tabs>
                <w:tab w:val="left" w:pos="-108"/>
              </w:tabs>
              <w:ind w:right="96" w:rightChars="46" w:firstLine="240" w:firstLineChars="100"/>
              <w:rPr>
                <w:rFonts w:hint="eastAsia"/>
              </w:rPr>
            </w:pPr>
            <w:r>
              <w:rPr>
                <w:rFonts w:hint="eastAsia" w:eastAsia="仿宋_GB2312"/>
                <w:sz w:val="24"/>
              </w:rPr>
              <w:t>8、容易危及人身安全的设施设备有明显警示标志和防范措施；对可能发生的各种突发设备故障有应急方案。</w:t>
            </w:r>
          </w:p>
        </w:tc>
      </w:tr>
      <w:tr>
        <w:tblPrEx>
          <w:tblLayout w:type="fixed"/>
        </w:tblPrEx>
        <w:trPr>
          <w:trHeight w:val="2475" w:hRule="atLeast"/>
        </w:trPr>
        <w:tc>
          <w:tcPr>
            <w:tcW w:w="1157" w:type="dxa"/>
            <w:vAlign w:val="center"/>
          </w:tcPr>
          <w:p>
            <w:pPr>
              <w:jc w:val="center"/>
              <w:rPr>
                <w:rFonts w:hint="eastAsia"/>
                <w:b/>
                <w:bCs/>
                <w:sz w:val="24"/>
              </w:rPr>
            </w:pPr>
            <w:r>
              <w:rPr>
                <w:rFonts w:hint="eastAsia"/>
                <w:b/>
                <w:bCs/>
                <w:sz w:val="24"/>
              </w:rPr>
              <w:t>（四）</w:t>
            </w:r>
          </w:p>
          <w:p>
            <w:pPr>
              <w:jc w:val="center"/>
              <w:rPr>
                <w:rFonts w:hint="eastAsia"/>
                <w:b/>
                <w:bCs/>
                <w:sz w:val="24"/>
              </w:rPr>
            </w:pPr>
            <w:r>
              <w:rPr>
                <w:rFonts w:hint="eastAsia"/>
                <w:b/>
                <w:bCs/>
                <w:sz w:val="24"/>
              </w:rPr>
              <w:t>协助</w:t>
            </w:r>
          </w:p>
          <w:p>
            <w:pPr>
              <w:jc w:val="center"/>
              <w:rPr>
                <w:rFonts w:hint="eastAsia"/>
                <w:b/>
                <w:bCs/>
                <w:sz w:val="24"/>
              </w:rPr>
            </w:pPr>
            <w:r>
              <w:rPr>
                <w:rFonts w:hint="eastAsia"/>
                <w:b/>
                <w:bCs/>
                <w:sz w:val="24"/>
              </w:rPr>
              <w:t>维护</w:t>
            </w:r>
          </w:p>
          <w:p>
            <w:pPr>
              <w:jc w:val="center"/>
              <w:rPr>
                <w:rFonts w:hint="eastAsia"/>
                <w:b/>
                <w:bCs/>
                <w:sz w:val="24"/>
              </w:rPr>
            </w:pPr>
            <w:r>
              <w:rPr>
                <w:rFonts w:hint="eastAsia"/>
                <w:b/>
                <w:bCs/>
                <w:sz w:val="24"/>
              </w:rPr>
              <w:t>公共</w:t>
            </w:r>
          </w:p>
          <w:p>
            <w:pPr>
              <w:jc w:val="center"/>
              <w:rPr>
                <w:rFonts w:hint="eastAsia"/>
                <w:b/>
                <w:bCs/>
                <w:sz w:val="24"/>
              </w:rPr>
            </w:pPr>
            <w:r>
              <w:rPr>
                <w:rFonts w:hint="eastAsia"/>
                <w:b/>
                <w:bCs/>
                <w:sz w:val="24"/>
              </w:rPr>
              <w:t>秩序</w:t>
            </w:r>
          </w:p>
        </w:tc>
        <w:tc>
          <w:tcPr>
            <w:tcW w:w="7700" w:type="dxa"/>
            <w:vAlign w:val="center"/>
          </w:tcPr>
          <w:p>
            <w:pPr>
              <w:ind w:right="71" w:rightChars="34" w:firstLine="240" w:firstLineChars="100"/>
              <w:rPr>
                <w:rFonts w:hint="eastAsia" w:eastAsia="仿宋_GB2312"/>
                <w:sz w:val="24"/>
              </w:rPr>
            </w:pPr>
            <w:r>
              <w:rPr>
                <w:rFonts w:hint="eastAsia" w:eastAsia="仿宋_GB2312"/>
                <w:sz w:val="24"/>
              </w:rPr>
              <w:t>1、小区24小时值勤。</w:t>
            </w:r>
          </w:p>
          <w:p>
            <w:pPr>
              <w:tabs>
                <w:tab w:val="left" w:pos="-108"/>
              </w:tabs>
              <w:ind w:right="96" w:rightChars="46" w:firstLine="240" w:firstLineChars="100"/>
              <w:rPr>
                <w:rFonts w:hint="eastAsia" w:eastAsia="仿宋_GB2312"/>
                <w:sz w:val="24"/>
              </w:rPr>
            </w:pPr>
            <w:r>
              <w:rPr>
                <w:rFonts w:hint="eastAsia" w:eastAsia="仿宋_GB2312"/>
                <w:sz w:val="24"/>
              </w:rPr>
              <w:t>2、对重点区域、重点部位每3小时至少巡查1次。</w:t>
            </w:r>
          </w:p>
          <w:p>
            <w:pPr>
              <w:tabs>
                <w:tab w:val="left" w:pos="-108"/>
              </w:tabs>
              <w:ind w:right="96" w:rightChars="46" w:firstLine="240" w:firstLineChars="100"/>
              <w:rPr>
                <w:rFonts w:hint="eastAsia" w:eastAsia="仿宋_GB2312"/>
                <w:sz w:val="24"/>
              </w:rPr>
            </w:pPr>
            <w:r>
              <w:rPr>
                <w:rFonts w:hint="eastAsia" w:eastAsia="仿宋_GB2312"/>
                <w:sz w:val="24"/>
              </w:rPr>
              <w:t>3、车辆停放有序。</w:t>
            </w:r>
          </w:p>
          <w:p>
            <w:pPr>
              <w:ind w:right="96" w:rightChars="46" w:firstLine="240" w:firstLineChars="100"/>
              <w:rPr>
                <w:rFonts w:hint="eastAsia" w:eastAsia="仿宋_GB2312"/>
                <w:sz w:val="24"/>
              </w:rPr>
            </w:pPr>
            <w:r>
              <w:rPr>
                <w:rFonts w:hint="eastAsia" w:eastAsia="仿宋_GB2312"/>
                <w:sz w:val="24"/>
              </w:rPr>
              <w:t>4、对火灾、治安、公共卫生等突发事件有应急预案，事发时及时报告业主委员会和有关部门，并协助采取相应措施。</w:t>
            </w:r>
          </w:p>
        </w:tc>
      </w:tr>
      <w:tr>
        <w:tblPrEx>
          <w:tblLayout w:type="fixed"/>
        </w:tblPrEx>
        <w:trPr>
          <w:trHeight w:val="3414" w:hRule="atLeast"/>
        </w:trPr>
        <w:tc>
          <w:tcPr>
            <w:tcW w:w="1157" w:type="dxa"/>
            <w:vAlign w:val="center"/>
          </w:tcPr>
          <w:p>
            <w:pPr>
              <w:jc w:val="center"/>
              <w:rPr>
                <w:rFonts w:hint="eastAsia"/>
                <w:b/>
                <w:bCs/>
                <w:sz w:val="24"/>
              </w:rPr>
            </w:pPr>
            <w:r>
              <w:rPr>
                <w:rFonts w:hint="eastAsia"/>
                <w:b/>
                <w:bCs/>
                <w:sz w:val="24"/>
              </w:rPr>
              <w:t>（五）</w:t>
            </w:r>
          </w:p>
          <w:p>
            <w:pPr>
              <w:jc w:val="center"/>
              <w:rPr>
                <w:rFonts w:hint="eastAsia"/>
                <w:b/>
                <w:bCs/>
                <w:sz w:val="24"/>
              </w:rPr>
            </w:pPr>
            <w:r>
              <w:rPr>
                <w:rFonts w:hint="eastAsia"/>
                <w:b/>
                <w:bCs/>
                <w:sz w:val="24"/>
              </w:rPr>
              <w:t>保</w:t>
            </w:r>
          </w:p>
          <w:p>
            <w:pPr>
              <w:jc w:val="center"/>
              <w:rPr>
                <w:rFonts w:hint="eastAsia"/>
                <w:b/>
                <w:bCs/>
                <w:sz w:val="24"/>
              </w:rPr>
            </w:pPr>
            <w:r>
              <w:rPr>
                <w:rFonts w:hint="eastAsia"/>
                <w:b/>
                <w:bCs/>
                <w:sz w:val="24"/>
              </w:rPr>
              <w:t>洁</w:t>
            </w:r>
          </w:p>
          <w:p>
            <w:pPr>
              <w:jc w:val="center"/>
              <w:rPr>
                <w:rFonts w:hint="eastAsia"/>
                <w:b/>
                <w:bCs/>
                <w:sz w:val="24"/>
              </w:rPr>
            </w:pPr>
            <w:r>
              <w:rPr>
                <w:rFonts w:hint="eastAsia"/>
                <w:b/>
                <w:bCs/>
                <w:sz w:val="24"/>
              </w:rPr>
              <w:t>服</w:t>
            </w:r>
          </w:p>
          <w:p>
            <w:pPr>
              <w:jc w:val="center"/>
              <w:rPr>
                <w:rFonts w:hint="eastAsia"/>
                <w:sz w:val="28"/>
              </w:rPr>
            </w:pPr>
            <w:r>
              <w:rPr>
                <w:rFonts w:hint="eastAsia"/>
                <w:b/>
                <w:bCs/>
                <w:sz w:val="24"/>
              </w:rPr>
              <w:t>务</w:t>
            </w:r>
          </w:p>
        </w:tc>
        <w:tc>
          <w:tcPr>
            <w:tcW w:w="7700" w:type="dxa"/>
            <w:vAlign w:val="center"/>
          </w:tcPr>
          <w:p>
            <w:pPr>
              <w:tabs>
                <w:tab w:val="left" w:pos="-108"/>
              </w:tabs>
              <w:ind w:right="96" w:rightChars="46" w:firstLine="240" w:firstLineChars="100"/>
              <w:rPr>
                <w:rFonts w:hint="eastAsia" w:eastAsia="仿宋_GB2312"/>
                <w:sz w:val="24"/>
              </w:rPr>
            </w:pPr>
            <w:r>
              <w:rPr>
                <w:rFonts w:hint="eastAsia" w:eastAsia="仿宋_GB2312"/>
                <w:sz w:val="24"/>
              </w:rPr>
              <w:t>1、小区内设有垃圾收集点，生活垃圾每天清运1次。</w:t>
            </w:r>
          </w:p>
          <w:p>
            <w:pPr>
              <w:tabs>
                <w:tab w:val="left" w:pos="-108"/>
              </w:tabs>
              <w:ind w:right="96" w:rightChars="46" w:firstLine="240" w:firstLineChars="100"/>
              <w:rPr>
                <w:rFonts w:hint="eastAsia" w:eastAsia="仿宋_GB2312"/>
                <w:sz w:val="24"/>
              </w:rPr>
            </w:pPr>
            <w:r>
              <w:rPr>
                <w:rFonts w:hint="eastAsia" w:eastAsia="仿宋_GB2312"/>
                <w:sz w:val="24"/>
              </w:rPr>
              <w:t>2、小区公共场所每日清扫1次；电梯厅、楼道每日清扫1次；共用部位玻璃每季度清洁1次；路灯、楼道灯每半年清洁1次。</w:t>
            </w:r>
          </w:p>
          <w:p>
            <w:pPr>
              <w:tabs>
                <w:tab w:val="left" w:pos="-108"/>
              </w:tabs>
              <w:ind w:right="96" w:rightChars="46" w:firstLine="240" w:firstLineChars="100"/>
              <w:rPr>
                <w:rFonts w:hint="eastAsia" w:eastAsia="仿宋_GB2312"/>
                <w:sz w:val="24"/>
              </w:rPr>
            </w:pPr>
            <w:r>
              <w:rPr>
                <w:rFonts w:hint="eastAsia" w:eastAsia="仿宋_GB2312"/>
                <w:sz w:val="24"/>
              </w:rPr>
              <w:t>3、区内公共雨、污水管道每年疏通1次；雨、污水井每半年检查1次，并视检查情况及时清掏；化粪池每季度检查1次，每年清掏1次，发现异常及时清掏。</w:t>
            </w:r>
          </w:p>
          <w:p>
            <w:pPr>
              <w:tabs>
                <w:tab w:val="left" w:pos="-108"/>
              </w:tabs>
              <w:ind w:right="96" w:rightChars="46" w:firstLine="240" w:firstLineChars="100"/>
              <w:rPr>
                <w:rFonts w:hint="eastAsia"/>
              </w:rPr>
            </w:pPr>
            <w:r>
              <w:rPr>
                <w:rFonts w:hint="eastAsia" w:eastAsia="仿宋_GB2312"/>
                <w:sz w:val="24"/>
              </w:rPr>
              <w:t>4、二次供水水箱按规定清洗，水质符合卫生要求。</w:t>
            </w:r>
          </w:p>
        </w:tc>
      </w:tr>
      <w:tr>
        <w:tblPrEx>
          <w:tblLayout w:type="fixed"/>
        </w:tblPrEx>
        <w:trPr>
          <w:trHeight w:val="2479" w:hRule="atLeast"/>
        </w:trPr>
        <w:tc>
          <w:tcPr>
            <w:tcW w:w="1157" w:type="dxa"/>
            <w:vAlign w:val="center"/>
          </w:tcPr>
          <w:p>
            <w:pPr>
              <w:jc w:val="center"/>
              <w:rPr>
                <w:rFonts w:hint="eastAsia"/>
                <w:b/>
                <w:bCs/>
                <w:sz w:val="24"/>
              </w:rPr>
            </w:pPr>
            <w:r>
              <w:rPr>
                <w:rFonts w:hint="eastAsia"/>
                <w:b/>
                <w:bCs/>
                <w:sz w:val="24"/>
              </w:rPr>
              <w:t>（六）</w:t>
            </w:r>
          </w:p>
          <w:p>
            <w:pPr>
              <w:jc w:val="center"/>
              <w:rPr>
                <w:rFonts w:hint="eastAsia"/>
                <w:b/>
                <w:bCs/>
                <w:sz w:val="24"/>
              </w:rPr>
            </w:pPr>
            <w:r>
              <w:rPr>
                <w:rFonts w:hint="eastAsia"/>
                <w:b/>
                <w:bCs/>
                <w:sz w:val="24"/>
              </w:rPr>
              <w:t>绿化</w:t>
            </w:r>
          </w:p>
          <w:p>
            <w:pPr>
              <w:jc w:val="center"/>
              <w:rPr>
                <w:rFonts w:hint="eastAsia"/>
                <w:b/>
                <w:bCs/>
                <w:sz w:val="24"/>
              </w:rPr>
            </w:pPr>
            <w:r>
              <w:rPr>
                <w:rFonts w:hint="eastAsia"/>
                <w:b/>
                <w:bCs/>
                <w:sz w:val="24"/>
              </w:rPr>
              <w:t>养护</w:t>
            </w:r>
          </w:p>
          <w:p>
            <w:pPr>
              <w:jc w:val="center"/>
              <w:rPr>
                <w:rFonts w:hint="eastAsia"/>
                <w:sz w:val="28"/>
              </w:rPr>
            </w:pPr>
            <w:r>
              <w:rPr>
                <w:rFonts w:hint="eastAsia"/>
                <w:b/>
                <w:bCs/>
                <w:sz w:val="24"/>
              </w:rPr>
              <w:t>管理</w:t>
            </w:r>
          </w:p>
        </w:tc>
        <w:tc>
          <w:tcPr>
            <w:tcW w:w="7700" w:type="dxa"/>
            <w:vAlign w:val="center"/>
          </w:tcPr>
          <w:p>
            <w:pPr>
              <w:ind w:right="96" w:rightChars="46" w:firstLine="240" w:firstLineChars="100"/>
              <w:rPr>
                <w:rFonts w:hint="eastAsia" w:eastAsia="仿宋_GB2312"/>
                <w:sz w:val="24"/>
              </w:rPr>
            </w:pPr>
            <w:r>
              <w:rPr>
                <w:rFonts w:hint="eastAsia" w:eastAsia="仿宋_GB2312"/>
                <w:sz w:val="24"/>
              </w:rPr>
              <w:t>1、对草坪、花卉、绿篱、树木定期进行修剪、养护。</w:t>
            </w:r>
          </w:p>
          <w:p>
            <w:pPr>
              <w:ind w:right="96" w:rightChars="46" w:firstLine="240" w:firstLineChars="100"/>
              <w:rPr>
                <w:rFonts w:hint="eastAsia" w:eastAsia="仿宋_GB2312"/>
                <w:sz w:val="24"/>
              </w:rPr>
            </w:pPr>
            <w:r>
              <w:rPr>
                <w:rFonts w:hint="eastAsia" w:eastAsia="仿宋_GB2312"/>
                <w:sz w:val="24"/>
              </w:rPr>
              <w:t>2、定期清除绿地杂草、杂物。</w:t>
            </w:r>
          </w:p>
          <w:p>
            <w:pPr>
              <w:tabs>
                <w:tab w:val="left" w:pos="-108"/>
              </w:tabs>
              <w:ind w:right="96" w:rightChars="46" w:firstLine="240" w:firstLineChars="100"/>
              <w:rPr>
                <w:rFonts w:hint="eastAsia"/>
              </w:rPr>
            </w:pPr>
            <w:r>
              <w:rPr>
                <w:rFonts w:hint="eastAsia" w:eastAsia="仿宋_GB2312"/>
                <w:sz w:val="24"/>
              </w:rPr>
              <w:t>3、预防花草、树木病虫害。</w:t>
            </w:r>
          </w:p>
        </w:tc>
      </w:tr>
    </w:tbl>
    <w:p>
      <w:pPr>
        <w:spacing w:line="400" w:lineRule="exact"/>
        <w:rPr>
          <w:rFonts w:hint="eastAsia" w:ascii="Times New Roman" w:hAnsi="Times New Roman" w:eastAsia="宋体" w:cs="Times New Roman"/>
          <w:sz w:val="30"/>
          <w:lang w:val="en-US" w:eastAsia="zh-CN"/>
        </w:rPr>
      </w:pPr>
    </w:p>
    <w:p>
      <w:pPr>
        <w:spacing w:line="400" w:lineRule="exact"/>
        <w:rPr>
          <w:rFonts w:hint="eastAsia"/>
          <w:color w:val="auto"/>
          <w:sz w:val="28"/>
          <w:highlight w:val="none"/>
        </w:rPr>
      </w:pPr>
      <w:r>
        <w:rPr>
          <w:rFonts w:hint="eastAsia" w:ascii="Times New Roman" w:hAnsi="Times New Roman" w:eastAsia="宋体" w:cs="Times New Roman"/>
          <w:sz w:val="30"/>
          <w:lang w:val="en-US" w:eastAsia="zh-CN"/>
        </w:rPr>
        <w:t>附件四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000000"/>
          <w:sz w:val="36"/>
        </w:rPr>
      </w:pPr>
      <w:bookmarkStart w:id="1" w:name="OLE_LINK14"/>
      <w:bookmarkStart w:id="2" w:name="OLE_LINK68"/>
      <w:bookmarkStart w:id="3" w:name="OLE_LINK74"/>
      <w:r>
        <w:rPr>
          <w:rFonts w:hint="eastAsia"/>
          <w:b/>
          <w:bCs/>
          <w:color w:val="000000"/>
          <w:sz w:val="36"/>
        </w:rPr>
        <w:t>信誉标计分表</w:t>
      </w:r>
      <w:bookmarkEnd w:id="1"/>
      <w:r>
        <w:rPr>
          <w:rFonts w:hint="eastAsia"/>
          <w:b/>
          <w:bCs/>
          <w:color w:val="000000"/>
          <w:sz w:val="36"/>
        </w:rPr>
        <w:t>（100分）</w:t>
      </w:r>
    </w:p>
    <w:bookmarkEnd w:id="2"/>
    <w:tbl>
      <w:tblPr>
        <w:tblStyle w:val="14"/>
        <w:tblpPr w:leftFromText="182" w:rightFromText="182" w:vertAnchor="text" w:horzAnchor="margin" w:tblpXSpec="center" w:tblpY="2"/>
        <w:tblW w:w="99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9"/>
        <w:gridCol w:w="7861"/>
        <w:gridCol w:w="839"/>
      </w:tblGrid>
      <w:tr>
        <w:tblPrEx>
          <w:tblLayout w:type="fixed"/>
        </w:tblPrEx>
        <w:trPr>
          <w:trHeight w:val="328" w:hRule="atLeast"/>
          <w:jc w:val="center"/>
        </w:trPr>
        <w:tc>
          <w:tcPr>
            <w:tcW w:w="1229" w:type="dxa"/>
            <w:tcBorders>
              <w:top w:val="single" w:color="000000" w:sz="4" w:space="0"/>
              <w:left w:val="single" w:color="000000" w:sz="4" w:space="0"/>
              <w:bottom w:val="single" w:color="000000" w:sz="4" w:space="0"/>
              <w:right w:val="single" w:color="000000" w:sz="4" w:space="0"/>
            </w:tcBorders>
            <w:vAlign w:val="top"/>
          </w:tcPr>
          <w:p>
            <w:pPr>
              <w:spacing w:line="320" w:lineRule="exact"/>
              <w:jc w:val="center"/>
              <w:rPr>
                <w:rFonts w:ascii="宋体"/>
                <w:color w:val="000000"/>
                <w:kern w:val="0"/>
                <w:sz w:val="18"/>
                <w:szCs w:val="18"/>
              </w:rPr>
            </w:pPr>
            <w:r>
              <w:rPr>
                <w:rFonts w:hint="eastAsia" w:ascii="宋体" w:hAnsi="宋体"/>
                <w:color w:val="000000"/>
                <w:kern w:val="0"/>
                <w:sz w:val="18"/>
                <w:szCs w:val="18"/>
              </w:rPr>
              <w:t>评审内容</w:t>
            </w:r>
          </w:p>
        </w:tc>
        <w:tc>
          <w:tcPr>
            <w:tcW w:w="7861" w:type="dxa"/>
            <w:tcBorders>
              <w:top w:val="single" w:color="000000" w:sz="4" w:space="0"/>
              <w:left w:val="single" w:color="000000" w:sz="4" w:space="0"/>
              <w:bottom w:val="single" w:color="000000" w:sz="4" w:space="0"/>
              <w:right w:val="single" w:color="000000" w:sz="4" w:space="0"/>
            </w:tcBorders>
            <w:vAlign w:val="top"/>
          </w:tcPr>
          <w:p>
            <w:pPr>
              <w:spacing w:line="320" w:lineRule="exact"/>
              <w:jc w:val="center"/>
              <w:rPr>
                <w:rFonts w:ascii="宋体"/>
                <w:color w:val="000000"/>
                <w:kern w:val="0"/>
                <w:sz w:val="18"/>
                <w:szCs w:val="18"/>
              </w:rPr>
            </w:pPr>
            <w:r>
              <w:rPr>
                <w:rFonts w:hint="eastAsia" w:ascii="宋体" w:hAnsi="宋体"/>
                <w:color w:val="000000"/>
                <w:kern w:val="0"/>
                <w:sz w:val="18"/>
                <w:szCs w:val="18"/>
              </w:rPr>
              <w:t>评分标准</w:t>
            </w:r>
          </w:p>
        </w:tc>
        <w:tc>
          <w:tcPr>
            <w:tcW w:w="839" w:type="dxa"/>
            <w:tcBorders>
              <w:top w:val="single" w:color="000000" w:sz="4" w:space="0"/>
              <w:left w:val="single" w:color="000000" w:sz="4" w:space="0"/>
              <w:bottom w:val="single" w:color="000000" w:sz="4" w:space="0"/>
              <w:right w:val="single" w:color="000000" w:sz="4" w:space="0"/>
            </w:tcBorders>
            <w:vAlign w:val="top"/>
          </w:tcPr>
          <w:p>
            <w:pPr>
              <w:spacing w:line="320" w:lineRule="exact"/>
              <w:jc w:val="center"/>
              <w:rPr>
                <w:rFonts w:ascii="宋体"/>
                <w:color w:val="000000"/>
                <w:kern w:val="0"/>
                <w:sz w:val="18"/>
                <w:szCs w:val="18"/>
              </w:rPr>
            </w:pPr>
            <w:r>
              <w:rPr>
                <w:rFonts w:hint="eastAsia" w:ascii="宋体" w:hAnsi="宋体"/>
                <w:color w:val="000000"/>
                <w:kern w:val="0"/>
                <w:sz w:val="18"/>
                <w:szCs w:val="18"/>
              </w:rPr>
              <w:t>分值</w:t>
            </w:r>
          </w:p>
        </w:tc>
      </w:tr>
      <w:tr>
        <w:tblPrEx>
          <w:tblLayout w:type="fixed"/>
        </w:tblPrEx>
        <w:trPr>
          <w:trHeight w:val="458" w:hRule="atLeast"/>
          <w:jc w:val="center"/>
        </w:trPr>
        <w:tc>
          <w:tcPr>
            <w:tcW w:w="1229" w:type="dxa"/>
            <w:tcBorders>
              <w:top w:val="single" w:color="000000" w:sz="4" w:space="0"/>
              <w:left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一</w:t>
            </w: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宋体" w:hAnsi="宋体" w:eastAsia="宋体" w:cs="Times New Roman"/>
                <w:color w:val="000000"/>
                <w:kern w:val="0"/>
                <w:sz w:val="18"/>
                <w:szCs w:val="18"/>
              </w:rPr>
            </w:pPr>
            <w:bookmarkStart w:id="4" w:name="OLE_LINK18"/>
            <w:r>
              <w:rPr>
                <w:rFonts w:hint="eastAsia" w:ascii="宋体" w:hAnsi="宋体" w:eastAsia="宋体" w:cs="Times New Roman"/>
                <w:color w:val="000000"/>
                <w:kern w:val="0"/>
                <w:sz w:val="18"/>
                <w:szCs w:val="18"/>
              </w:rPr>
              <w:t>目前在管项目管理规模、档次</w:t>
            </w:r>
            <w:bookmarkEnd w:id="4"/>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宋体" w:hAnsi="宋体" w:eastAsia="宋体" w:cs="Times New Roman"/>
                <w:color w:val="000000"/>
                <w:kern w:val="0"/>
                <w:sz w:val="18"/>
                <w:szCs w:val="18"/>
                <w:lang w:val="en-US" w:eastAsia="zh-CN"/>
              </w:rPr>
            </w:pPr>
          </w:p>
        </w:tc>
      </w:tr>
      <w:tr>
        <w:tblPrEx>
          <w:tblLayout w:type="fixed"/>
        </w:tblPrEx>
        <w:trPr>
          <w:trHeight w:val="571" w:hRule="atLeast"/>
          <w:jc w:val="center"/>
        </w:trPr>
        <w:tc>
          <w:tcPr>
            <w:tcW w:w="1229"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宋体" w:hAnsi="宋体" w:eastAsia="宋体" w:cs="Times New Roman"/>
                <w:color w:val="000000"/>
                <w:kern w:val="0"/>
                <w:sz w:val="18"/>
                <w:szCs w:val="18"/>
              </w:rPr>
            </w:pPr>
            <w:bookmarkStart w:id="5" w:name="OLE_LINK15"/>
            <w:r>
              <w:rPr>
                <w:rFonts w:hint="eastAsia" w:ascii="宋体" w:hAnsi="宋体" w:eastAsia="宋体" w:cs="Times New Roman"/>
                <w:color w:val="000000"/>
                <w:kern w:val="0"/>
                <w:sz w:val="18"/>
                <w:szCs w:val="18"/>
              </w:rPr>
              <w:t>1、</w:t>
            </w:r>
            <w:bookmarkEnd w:id="5"/>
            <w:r>
              <w:rPr>
                <w:rFonts w:hint="eastAsia" w:ascii="宋体" w:hAnsi="宋体" w:eastAsia="宋体" w:cs="Times New Roman"/>
                <w:color w:val="000000"/>
                <w:kern w:val="0"/>
                <w:sz w:val="18"/>
                <w:szCs w:val="18"/>
              </w:rPr>
              <w:t>管理面积总规模达10万㎡</w:t>
            </w:r>
            <w:r>
              <w:rPr>
                <w:rFonts w:hint="eastAsia" w:ascii="宋体" w:hAnsi="宋体" w:eastAsia="宋体" w:cs="Times New Roman"/>
                <w:color w:val="000000"/>
                <w:kern w:val="0"/>
                <w:sz w:val="18"/>
                <w:szCs w:val="18"/>
                <w:lang w:val="en-US" w:eastAsia="zh-CN"/>
              </w:rPr>
              <w:t>（含）</w:t>
            </w:r>
            <w:r>
              <w:rPr>
                <w:rFonts w:hint="eastAsia" w:ascii="宋体" w:hAnsi="宋体" w:eastAsia="宋体" w:cs="Times New Roman"/>
                <w:color w:val="000000"/>
                <w:kern w:val="0"/>
                <w:sz w:val="18"/>
                <w:szCs w:val="18"/>
              </w:rPr>
              <w:t>的加3分，每递增5万㎡加1分,不足10万㎡不计分，最高得20分。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20</w:t>
            </w:r>
            <w:r>
              <w:rPr>
                <w:rFonts w:hint="eastAsia" w:ascii="宋体" w:hAnsi="宋体" w:eastAsia="宋体" w:cs="Times New Roman"/>
                <w:color w:val="000000"/>
                <w:kern w:val="0"/>
                <w:sz w:val="18"/>
                <w:szCs w:val="18"/>
              </w:rPr>
              <w:t>分</w:t>
            </w:r>
          </w:p>
        </w:tc>
      </w:tr>
      <w:tr>
        <w:tblPrEx>
          <w:tblLayout w:type="fixed"/>
        </w:tblPrEx>
        <w:trPr>
          <w:trHeight w:val="811" w:hRule="atLeast"/>
          <w:jc w:val="center"/>
        </w:trPr>
        <w:tc>
          <w:tcPr>
            <w:tcW w:w="1229" w:type="dxa"/>
            <w:vMerge w:val="continue"/>
            <w:tcBorders>
              <w:left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bookmarkStart w:id="6" w:name="OLE_LINK17" w:colFirst="1" w:colLast="2"/>
          </w:p>
        </w:tc>
        <w:tc>
          <w:tcPr>
            <w:tcW w:w="7861" w:type="dxa"/>
            <w:tcBorders>
              <w:top w:val="single" w:color="000000" w:sz="4" w:space="0"/>
              <w:left w:val="single" w:color="000000" w:sz="4" w:space="0"/>
              <w:right w:val="single" w:color="000000" w:sz="4" w:space="0"/>
            </w:tcBorders>
            <w:vAlign w:val="center"/>
          </w:tcPr>
          <w:p>
            <w:pPr>
              <w:spacing w:line="320" w:lineRule="exact"/>
              <w:jc w:val="left"/>
              <w:rPr>
                <w:rFonts w:hint="eastAsia" w:ascii="宋体" w:hAnsi="宋体" w:eastAsia="宋体" w:cs="Times New Roman"/>
                <w:color w:val="000000"/>
                <w:kern w:val="0"/>
                <w:sz w:val="18"/>
                <w:szCs w:val="18"/>
                <w:lang w:eastAsia="zh-CN"/>
              </w:rPr>
            </w:pPr>
            <w:bookmarkStart w:id="7" w:name="OLE_LINK16"/>
            <w:r>
              <w:rPr>
                <w:rFonts w:hint="eastAsia" w:ascii="宋体" w:hAnsi="宋体" w:eastAsia="宋体" w:cs="Times New Roman"/>
                <w:color w:val="000000"/>
                <w:kern w:val="0"/>
                <w:sz w:val="18"/>
                <w:szCs w:val="18"/>
              </w:rPr>
              <w:t>2</w:t>
            </w:r>
            <w:r>
              <w:rPr>
                <w:rFonts w:hint="eastAsia" w:ascii="宋体" w:hAnsi="宋体" w:eastAsia="宋体" w:cs="Times New Roman"/>
                <w:color w:val="000000"/>
                <w:kern w:val="0"/>
                <w:sz w:val="18"/>
                <w:szCs w:val="18"/>
                <w:lang w:eastAsia="zh-CN"/>
              </w:rPr>
              <w:t>、</w:t>
            </w:r>
            <w:bookmarkEnd w:id="7"/>
            <w:bookmarkStart w:id="8" w:name="OLE_LINK58"/>
            <w:r>
              <w:rPr>
                <w:rFonts w:hint="eastAsia" w:ascii="宋体" w:hAnsi="宋体" w:eastAsia="宋体" w:cs="Times New Roman"/>
                <w:color w:val="000000"/>
                <w:kern w:val="0"/>
                <w:sz w:val="18"/>
                <w:szCs w:val="18"/>
                <w:lang w:val="en-US" w:eastAsia="zh-CN"/>
              </w:rPr>
              <w:t>单个项目建筑面积1万㎡以上</w:t>
            </w:r>
            <w:bookmarkStart w:id="9" w:name="OLE_LINK64"/>
            <w:r>
              <w:rPr>
                <w:rFonts w:hint="eastAsia" w:ascii="宋体" w:hAnsi="宋体" w:eastAsia="宋体" w:cs="Times New Roman"/>
                <w:color w:val="000000"/>
                <w:kern w:val="0"/>
                <w:sz w:val="18"/>
                <w:szCs w:val="18"/>
                <w:lang w:val="en-US" w:eastAsia="zh-CN"/>
              </w:rPr>
              <w:t>（含</w:t>
            </w:r>
            <w:bookmarkEnd w:id="9"/>
            <w:r>
              <w:rPr>
                <w:rFonts w:hint="eastAsia" w:ascii="宋体" w:hAnsi="宋体" w:eastAsia="宋体" w:cs="Times New Roman"/>
                <w:color w:val="000000"/>
                <w:kern w:val="0"/>
                <w:sz w:val="18"/>
                <w:szCs w:val="18"/>
                <w:lang w:val="en-US" w:eastAsia="zh-CN"/>
              </w:rPr>
              <w:t>1万㎡）每具备一个得1分</w:t>
            </w:r>
            <w:bookmarkEnd w:id="8"/>
            <w:r>
              <w:rPr>
                <w:rFonts w:hint="eastAsia" w:ascii="宋体" w:hAnsi="宋体" w:eastAsia="宋体" w:cs="Times New Roman"/>
                <w:color w:val="000000"/>
                <w:kern w:val="0"/>
                <w:sz w:val="18"/>
                <w:szCs w:val="18"/>
                <w:lang w:eastAsia="zh-CN"/>
              </w:rPr>
              <w:t>；</w:t>
            </w:r>
            <w:r>
              <w:rPr>
                <w:rFonts w:hint="eastAsia" w:ascii="宋体" w:hAnsi="宋体" w:eastAsia="宋体" w:cs="Times New Roman"/>
                <w:color w:val="000000"/>
                <w:kern w:val="0"/>
                <w:sz w:val="18"/>
                <w:szCs w:val="18"/>
                <w:lang w:val="en-US" w:eastAsia="zh-CN"/>
              </w:rPr>
              <w:t>在管物业服务项目面积达5万㎡（含）及以上的加2分，</w:t>
            </w:r>
            <w:r>
              <w:rPr>
                <w:rFonts w:hint="eastAsia" w:ascii="宋体" w:hAnsi="宋体" w:eastAsia="宋体" w:cs="Times New Roman"/>
                <w:color w:val="000000"/>
                <w:kern w:val="0"/>
                <w:sz w:val="18"/>
                <w:szCs w:val="18"/>
              </w:rPr>
              <w:t>每</w:t>
            </w:r>
            <w:r>
              <w:rPr>
                <w:rFonts w:hint="eastAsia" w:ascii="宋体" w:hAnsi="宋体" w:eastAsia="宋体" w:cs="Times New Roman"/>
                <w:color w:val="000000"/>
                <w:kern w:val="0"/>
                <w:sz w:val="18"/>
                <w:szCs w:val="18"/>
                <w:lang w:eastAsia="zh-CN"/>
              </w:rPr>
              <w:t>具备一个</w:t>
            </w:r>
            <w:r>
              <w:rPr>
                <w:rFonts w:hint="eastAsia" w:ascii="宋体" w:hAnsi="宋体" w:eastAsia="宋体" w:cs="Times New Roman"/>
                <w:color w:val="000000"/>
                <w:kern w:val="0"/>
                <w:sz w:val="18"/>
                <w:szCs w:val="18"/>
              </w:rPr>
              <w:t>加</w:t>
            </w:r>
            <w:r>
              <w:rPr>
                <w:rFonts w:hint="eastAsia" w:ascii="宋体" w:hAnsi="宋体" w:eastAsia="宋体" w:cs="Times New Roman"/>
                <w:color w:val="000000"/>
                <w:kern w:val="0"/>
                <w:sz w:val="18"/>
                <w:szCs w:val="18"/>
                <w:lang w:val="en-US" w:eastAsia="zh-CN"/>
              </w:rPr>
              <w:t>2</w:t>
            </w:r>
            <w:r>
              <w:rPr>
                <w:rFonts w:hint="eastAsia" w:ascii="宋体" w:hAnsi="宋体" w:eastAsia="宋体" w:cs="Times New Roman"/>
                <w:color w:val="000000"/>
                <w:kern w:val="0"/>
                <w:sz w:val="18"/>
                <w:szCs w:val="18"/>
              </w:rPr>
              <w:t>分</w:t>
            </w:r>
            <w:r>
              <w:rPr>
                <w:rFonts w:hint="eastAsia" w:ascii="宋体" w:hAnsi="宋体" w:eastAsia="宋体" w:cs="Times New Roman"/>
                <w:color w:val="000000"/>
                <w:kern w:val="0"/>
                <w:sz w:val="18"/>
                <w:szCs w:val="18"/>
                <w:lang w:eastAsia="zh-CN"/>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bookmarkStart w:id="10" w:name="OLE_LINK63"/>
            <w:r>
              <w:rPr>
                <w:rFonts w:hint="eastAsia" w:ascii="宋体" w:hAnsi="宋体" w:eastAsia="宋体" w:cs="Times New Roman"/>
                <w:color w:val="000000"/>
                <w:kern w:val="0"/>
                <w:sz w:val="18"/>
                <w:szCs w:val="18"/>
                <w:lang w:val="en-US" w:eastAsia="zh-CN"/>
              </w:rPr>
              <w:t>12</w:t>
            </w:r>
            <w:r>
              <w:rPr>
                <w:rFonts w:hint="eastAsia" w:ascii="宋体" w:hAnsi="宋体" w:eastAsia="宋体" w:cs="Times New Roman"/>
                <w:color w:val="000000"/>
                <w:kern w:val="0"/>
                <w:sz w:val="18"/>
                <w:szCs w:val="18"/>
              </w:rPr>
              <w:t>分</w:t>
            </w:r>
            <w:bookmarkEnd w:id="10"/>
          </w:p>
        </w:tc>
      </w:tr>
      <w:bookmarkEnd w:id="6"/>
      <w:tr>
        <w:tblPrEx>
          <w:tblLayout w:type="fixed"/>
        </w:tblPrEx>
        <w:trPr>
          <w:trHeight w:val="405" w:hRule="atLeast"/>
          <w:jc w:val="center"/>
        </w:trPr>
        <w:tc>
          <w:tcPr>
            <w:tcW w:w="1229" w:type="dxa"/>
            <w:tcBorders>
              <w:top w:val="single" w:color="000000" w:sz="4" w:space="0"/>
              <w:left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二</w:t>
            </w: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宋体" w:hAnsi="宋体" w:eastAsia="宋体" w:cs="Times New Roman"/>
                <w:color w:val="000000"/>
                <w:kern w:val="0"/>
                <w:sz w:val="18"/>
                <w:szCs w:val="18"/>
                <w:lang w:val="en-US" w:eastAsia="zh-CN"/>
              </w:rPr>
            </w:pPr>
            <w:bookmarkStart w:id="11" w:name="OLE_LINK19"/>
            <w:r>
              <w:rPr>
                <w:rFonts w:hint="eastAsia" w:ascii="宋体" w:hAnsi="宋体" w:eastAsia="宋体" w:cs="Times New Roman"/>
                <w:color w:val="000000"/>
                <w:kern w:val="0"/>
                <w:sz w:val="18"/>
                <w:szCs w:val="18"/>
                <w:lang w:val="en-US" w:eastAsia="zh-CN"/>
              </w:rPr>
              <w:t>获奖情况</w:t>
            </w:r>
            <w:bookmarkEnd w:id="11"/>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宋体" w:hAnsi="宋体" w:eastAsia="宋体" w:cs="Times New Roman"/>
                <w:color w:val="000000"/>
                <w:kern w:val="0"/>
                <w:sz w:val="18"/>
                <w:szCs w:val="18"/>
                <w:lang w:val="en-US" w:eastAsia="zh-CN"/>
              </w:rPr>
            </w:pPr>
          </w:p>
        </w:tc>
      </w:tr>
      <w:tr>
        <w:tblPrEx>
          <w:tblLayout w:type="fixed"/>
        </w:tblPrEx>
        <w:trPr>
          <w:trHeight w:val="405" w:hRule="atLeast"/>
          <w:jc w:val="center"/>
        </w:trPr>
        <w:tc>
          <w:tcPr>
            <w:tcW w:w="1229"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bookmarkStart w:id="12" w:name="OLE_LINK40" w:colFirst="1" w:colLast="1"/>
            <w:bookmarkStart w:id="13" w:name="OLE_LINK73" w:colFirst="0" w:colLast="1"/>
          </w:p>
        </w:tc>
        <w:tc>
          <w:tcPr>
            <w:tcW w:w="78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color w:val="000000"/>
                <w:kern w:val="0"/>
                <w:sz w:val="18"/>
                <w:szCs w:val="18"/>
              </w:rPr>
            </w:pPr>
            <w:bookmarkStart w:id="14" w:name="OLE_LINK20"/>
            <w:r>
              <w:rPr>
                <w:rFonts w:hint="eastAsia" w:ascii="宋体" w:hAnsi="宋体" w:eastAsia="宋体" w:cs="Times New Roman"/>
                <w:color w:val="000000"/>
                <w:kern w:val="0"/>
                <w:sz w:val="18"/>
                <w:szCs w:val="18"/>
              </w:rPr>
              <w:t>1、</w:t>
            </w:r>
            <w:bookmarkEnd w:id="14"/>
            <w:r>
              <w:rPr>
                <w:rFonts w:hint="eastAsia" w:ascii="宋体" w:hAnsi="宋体" w:eastAsia="宋体" w:cs="Times New Roman"/>
                <w:color w:val="000000"/>
                <w:kern w:val="0"/>
                <w:sz w:val="18"/>
                <w:szCs w:val="18"/>
              </w:rPr>
              <w:t>近三年企业管理的小区（大厦）获政府或物业主管部门颁发的物业管理优秀（示范）大厦（小区）称号：县、区级的1分/个；市级的3分/个；省级6分/个。（单个大厦或小区多次重复获奖的，按最高奖计分）。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10</w:t>
            </w:r>
            <w:r>
              <w:rPr>
                <w:rFonts w:hint="eastAsia" w:ascii="宋体" w:hAnsi="宋体" w:eastAsia="宋体" w:cs="Times New Roman"/>
                <w:color w:val="000000"/>
                <w:kern w:val="0"/>
                <w:sz w:val="18"/>
                <w:szCs w:val="18"/>
              </w:rPr>
              <w:t>分</w:t>
            </w:r>
          </w:p>
        </w:tc>
      </w:tr>
      <w:tr>
        <w:tblPrEx>
          <w:tblLayout w:type="fixed"/>
        </w:tblPrEx>
        <w:trPr>
          <w:trHeight w:val="815" w:hRule="atLeast"/>
          <w:jc w:val="center"/>
        </w:trPr>
        <w:tc>
          <w:tcPr>
            <w:tcW w:w="1229" w:type="dxa"/>
            <w:vMerge w:val="continue"/>
            <w:tcBorders>
              <w:left w:val="single" w:color="000000" w:sz="4" w:space="0"/>
              <w:right w:val="single" w:color="000000" w:sz="4" w:space="0"/>
            </w:tcBorders>
            <w:vAlign w:val="top"/>
          </w:tcPr>
          <w:p>
            <w:pPr>
              <w:spacing w:line="320" w:lineRule="exact"/>
              <w:jc w:val="center"/>
              <w:rPr>
                <w:rFonts w:hint="eastAsia" w:ascii="宋体" w:hAnsi="宋体" w:eastAsia="宋体" w:cs="Times New Roman"/>
                <w:color w:val="000000"/>
                <w:kern w:val="0"/>
                <w:sz w:val="18"/>
                <w:szCs w:val="18"/>
              </w:rPr>
            </w:pPr>
          </w:p>
        </w:tc>
        <w:tc>
          <w:tcPr>
            <w:tcW w:w="78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color w:val="000000"/>
                <w:kern w:val="0"/>
                <w:sz w:val="18"/>
                <w:szCs w:val="18"/>
              </w:rPr>
            </w:pPr>
            <w:bookmarkStart w:id="15" w:name="OLE_LINK21"/>
            <w:r>
              <w:rPr>
                <w:rFonts w:hint="eastAsia" w:ascii="宋体" w:hAnsi="宋体" w:eastAsia="宋体" w:cs="Times New Roman"/>
                <w:color w:val="000000"/>
                <w:kern w:val="0"/>
                <w:sz w:val="18"/>
                <w:szCs w:val="18"/>
              </w:rPr>
              <w:t>2、</w:t>
            </w:r>
            <w:bookmarkEnd w:id="15"/>
            <w:r>
              <w:rPr>
                <w:rFonts w:hint="eastAsia" w:ascii="宋体" w:hAnsi="宋体" w:eastAsia="宋体" w:cs="Times New Roman"/>
                <w:color w:val="000000"/>
                <w:kern w:val="0"/>
                <w:sz w:val="18"/>
                <w:szCs w:val="18"/>
              </w:rPr>
              <w:t>近三年企业管理的项目获政府或物业主管部门颁发的奖项：县、区级荣誉1分/个；市级荣誉2分/个；省级及以上荣誉3分/个。（相同奖项多次获得仅计算最高项一次）。</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10</w:t>
            </w:r>
            <w:r>
              <w:rPr>
                <w:rFonts w:hint="eastAsia" w:ascii="宋体" w:hAnsi="宋体" w:eastAsia="宋体" w:cs="Times New Roman"/>
                <w:color w:val="000000"/>
                <w:kern w:val="0"/>
                <w:sz w:val="18"/>
                <w:szCs w:val="18"/>
              </w:rPr>
              <w:t>分</w:t>
            </w:r>
          </w:p>
        </w:tc>
      </w:tr>
      <w:tr>
        <w:tblPrEx>
          <w:tblLayout w:type="fixed"/>
        </w:tblPrEx>
        <w:trPr>
          <w:trHeight w:val="355" w:hRule="atLeast"/>
          <w:jc w:val="center"/>
        </w:trPr>
        <w:tc>
          <w:tcPr>
            <w:tcW w:w="1229" w:type="dxa"/>
            <w:vMerge w:val="continue"/>
            <w:tcBorders>
              <w:left w:val="single" w:color="000000" w:sz="4" w:space="0"/>
              <w:right w:val="single" w:color="000000" w:sz="4" w:space="0"/>
            </w:tcBorders>
            <w:vAlign w:val="top"/>
          </w:tcPr>
          <w:p>
            <w:pPr>
              <w:spacing w:line="320" w:lineRule="exact"/>
              <w:jc w:val="center"/>
              <w:rPr>
                <w:rFonts w:hint="eastAsia" w:ascii="宋体" w:hAnsi="宋体" w:eastAsia="宋体" w:cs="Times New Roman"/>
                <w:color w:val="000000"/>
                <w:kern w:val="0"/>
                <w:sz w:val="18"/>
                <w:szCs w:val="18"/>
              </w:rPr>
            </w:pPr>
          </w:p>
        </w:tc>
        <w:tc>
          <w:tcPr>
            <w:tcW w:w="78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color w:val="000000"/>
                <w:kern w:val="0"/>
                <w:sz w:val="18"/>
                <w:szCs w:val="18"/>
              </w:rPr>
            </w:pPr>
            <w:bookmarkStart w:id="16" w:name="OLE_LINK22"/>
            <w:r>
              <w:rPr>
                <w:rFonts w:hint="eastAsia" w:ascii="宋体" w:hAnsi="宋体" w:eastAsia="宋体" w:cs="Times New Roman"/>
                <w:color w:val="000000"/>
                <w:kern w:val="0"/>
                <w:sz w:val="18"/>
                <w:szCs w:val="18"/>
                <w:lang w:val="en-US" w:eastAsia="zh-CN"/>
              </w:rPr>
              <w:t>3、</w:t>
            </w:r>
            <w:bookmarkEnd w:id="16"/>
            <w:r>
              <w:rPr>
                <w:rFonts w:hint="eastAsia" w:ascii="宋体" w:hAnsi="宋体" w:eastAsia="宋体" w:cs="Times New Roman"/>
                <w:color w:val="000000"/>
                <w:kern w:val="0"/>
                <w:sz w:val="18"/>
                <w:szCs w:val="18"/>
              </w:rPr>
              <w:t>获得省级及以上物业行业行政主管部门评定</w:t>
            </w:r>
            <w:r>
              <w:rPr>
                <w:rFonts w:hint="eastAsia" w:ascii="宋体" w:hAnsi="宋体" w:eastAsia="宋体" w:cs="Times New Roman"/>
                <w:color w:val="000000"/>
                <w:kern w:val="0"/>
                <w:sz w:val="18"/>
                <w:szCs w:val="18"/>
                <w:lang w:eastAsia="zh-CN"/>
              </w:rPr>
              <w:t>（最近一期）：</w:t>
            </w:r>
            <w:r>
              <w:rPr>
                <w:rFonts w:hint="eastAsia" w:ascii="宋体" w:hAnsi="宋体" w:eastAsia="宋体" w:cs="Times New Roman"/>
                <w:color w:val="000000"/>
                <w:kern w:val="0"/>
                <w:sz w:val="18"/>
                <w:szCs w:val="18"/>
              </w:rPr>
              <w:t>AAA信用等级得</w:t>
            </w:r>
            <w:r>
              <w:rPr>
                <w:rFonts w:hint="eastAsia" w:ascii="宋体" w:hAnsi="宋体" w:cs="Times New Roman"/>
                <w:color w:val="000000"/>
                <w:kern w:val="0"/>
                <w:sz w:val="18"/>
                <w:szCs w:val="18"/>
                <w:lang w:val="en-US" w:eastAsia="zh-CN"/>
              </w:rPr>
              <w:t>9</w:t>
            </w:r>
            <w:r>
              <w:rPr>
                <w:rFonts w:hint="eastAsia" w:ascii="宋体" w:hAnsi="宋体" w:eastAsia="宋体" w:cs="Times New Roman"/>
                <w:color w:val="000000"/>
                <w:kern w:val="0"/>
                <w:sz w:val="18"/>
                <w:szCs w:val="18"/>
              </w:rPr>
              <w:t>分，AA信用等级得</w:t>
            </w:r>
            <w:r>
              <w:rPr>
                <w:rFonts w:hint="eastAsia" w:ascii="宋体" w:hAnsi="宋体" w:cs="Times New Roman"/>
                <w:color w:val="000000"/>
                <w:kern w:val="0"/>
                <w:sz w:val="18"/>
                <w:szCs w:val="18"/>
                <w:lang w:val="en-US" w:eastAsia="zh-CN"/>
              </w:rPr>
              <w:t>7</w:t>
            </w:r>
            <w:r>
              <w:rPr>
                <w:rFonts w:hint="eastAsia" w:ascii="宋体" w:hAnsi="宋体" w:eastAsia="宋体" w:cs="Times New Roman"/>
                <w:color w:val="000000"/>
                <w:kern w:val="0"/>
                <w:sz w:val="18"/>
                <w:szCs w:val="18"/>
              </w:rPr>
              <w:t>分，A信用等级得</w:t>
            </w:r>
            <w:r>
              <w:rPr>
                <w:rFonts w:hint="eastAsia" w:ascii="宋体" w:hAnsi="宋体" w:cs="Times New Roman"/>
                <w:color w:val="000000"/>
                <w:kern w:val="0"/>
                <w:sz w:val="18"/>
                <w:szCs w:val="18"/>
                <w:lang w:val="en-US" w:eastAsia="zh-CN"/>
              </w:rPr>
              <w:t>6</w:t>
            </w:r>
            <w:r>
              <w:rPr>
                <w:rFonts w:hint="eastAsia" w:ascii="宋体" w:hAnsi="宋体" w:eastAsia="宋体" w:cs="Times New Roman"/>
                <w:color w:val="000000"/>
                <w:kern w:val="0"/>
                <w:sz w:val="18"/>
                <w:szCs w:val="18"/>
              </w:rPr>
              <w:t>分</w:t>
            </w:r>
            <w:r>
              <w:rPr>
                <w:rFonts w:hint="eastAsia" w:ascii="宋体" w:hAnsi="宋体" w:eastAsia="宋体" w:cs="Times New Roman"/>
                <w:color w:val="000000"/>
                <w:kern w:val="0"/>
                <w:sz w:val="18"/>
                <w:szCs w:val="18"/>
                <w:lang w:eastAsia="zh-CN"/>
              </w:rPr>
              <w:t>，</w:t>
            </w:r>
            <w:r>
              <w:rPr>
                <w:rFonts w:hint="eastAsia" w:ascii="宋体" w:hAnsi="宋体" w:eastAsia="宋体" w:cs="Times New Roman"/>
                <w:color w:val="000000"/>
                <w:kern w:val="0"/>
                <w:sz w:val="18"/>
                <w:szCs w:val="18"/>
                <w:lang w:val="en-US" w:eastAsia="zh-CN"/>
              </w:rPr>
              <w:t>B</w:t>
            </w:r>
            <w:r>
              <w:rPr>
                <w:rFonts w:hint="eastAsia" w:ascii="宋体" w:hAnsi="宋体" w:eastAsia="宋体" w:cs="Times New Roman"/>
                <w:color w:val="000000"/>
                <w:kern w:val="0"/>
                <w:sz w:val="18"/>
                <w:szCs w:val="18"/>
              </w:rPr>
              <w:t>信用等级得</w:t>
            </w:r>
            <w:r>
              <w:rPr>
                <w:rFonts w:hint="eastAsia" w:ascii="宋体" w:hAnsi="宋体" w:cs="Times New Roman"/>
                <w:color w:val="000000"/>
                <w:kern w:val="0"/>
                <w:sz w:val="18"/>
                <w:szCs w:val="18"/>
                <w:lang w:val="en-US" w:eastAsia="zh-CN"/>
              </w:rPr>
              <w:t>5</w:t>
            </w:r>
            <w:r>
              <w:rPr>
                <w:rFonts w:hint="eastAsia" w:ascii="宋体" w:hAnsi="宋体" w:eastAsia="宋体" w:cs="Times New Roman"/>
                <w:color w:val="000000"/>
                <w:kern w:val="0"/>
                <w:sz w:val="18"/>
                <w:szCs w:val="18"/>
              </w:rPr>
              <w:t>分</w:t>
            </w:r>
            <w:r>
              <w:rPr>
                <w:rFonts w:hint="eastAsia" w:ascii="宋体" w:hAnsi="宋体" w:eastAsia="宋体" w:cs="Times New Roman"/>
                <w:color w:val="000000"/>
                <w:kern w:val="0"/>
                <w:sz w:val="18"/>
                <w:szCs w:val="18"/>
                <w:lang w:eastAsia="zh-CN"/>
              </w:rPr>
              <w:t>，其余不得分。（提供</w:t>
            </w:r>
            <w:r>
              <w:rPr>
                <w:rFonts w:hint="eastAsia" w:ascii="宋体" w:hAnsi="宋体" w:eastAsia="宋体" w:cs="Times New Roman"/>
                <w:color w:val="000000"/>
                <w:kern w:val="0"/>
                <w:sz w:val="18"/>
                <w:szCs w:val="18"/>
              </w:rPr>
              <w:t>省级及以上物业行业行政主管部门评定</w:t>
            </w:r>
            <w:r>
              <w:rPr>
                <w:rFonts w:hint="eastAsia" w:ascii="宋体" w:hAnsi="宋体" w:eastAsia="宋体" w:cs="Times New Roman"/>
                <w:color w:val="000000"/>
                <w:kern w:val="0"/>
                <w:sz w:val="18"/>
                <w:szCs w:val="18"/>
                <w:lang w:eastAsia="zh-CN"/>
              </w:rPr>
              <w:t>信用信息管理平台网上公示截图及结果名单）</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r>
              <w:rPr>
                <w:rFonts w:hint="eastAsia" w:ascii="宋体" w:hAnsi="宋体" w:cs="Times New Roman"/>
                <w:color w:val="000000"/>
                <w:kern w:val="0"/>
                <w:sz w:val="18"/>
                <w:szCs w:val="18"/>
                <w:lang w:val="en-US" w:eastAsia="zh-CN"/>
              </w:rPr>
              <w:t>9</w:t>
            </w:r>
            <w:r>
              <w:rPr>
                <w:rFonts w:hint="eastAsia" w:ascii="宋体" w:hAnsi="宋体" w:eastAsia="宋体" w:cs="Times New Roman"/>
                <w:color w:val="000000"/>
                <w:kern w:val="0"/>
                <w:sz w:val="18"/>
                <w:szCs w:val="18"/>
              </w:rPr>
              <w:t>分</w:t>
            </w:r>
          </w:p>
        </w:tc>
      </w:tr>
      <w:tr>
        <w:tblPrEx>
          <w:tblLayout w:type="fixed"/>
        </w:tblPrEx>
        <w:trPr>
          <w:trHeight w:val="1015" w:hRule="atLeast"/>
          <w:jc w:val="center"/>
        </w:trPr>
        <w:tc>
          <w:tcPr>
            <w:tcW w:w="1229" w:type="dxa"/>
            <w:vMerge w:val="continue"/>
            <w:tcBorders>
              <w:left w:val="single" w:color="000000" w:sz="4" w:space="0"/>
              <w:right w:val="single" w:color="000000" w:sz="4" w:space="0"/>
            </w:tcBorders>
            <w:vAlign w:val="top"/>
          </w:tcPr>
          <w:p>
            <w:pPr>
              <w:spacing w:line="320" w:lineRule="exact"/>
              <w:jc w:val="center"/>
              <w:rPr>
                <w:rFonts w:hint="eastAsia" w:ascii="宋体" w:hAnsi="宋体" w:eastAsia="宋体" w:cs="Times New Roman"/>
                <w:color w:val="000000"/>
                <w:kern w:val="0"/>
                <w:sz w:val="18"/>
                <w:szCs w:val="18"/>
              </w:rPr>
            </w:pPr>
          </w:p>
        </w:tc>
        <w:tc>
          <w:tcPr>
            <w:tcW w:w="78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rPr>
              <w:t>4、企业认证：通过质量管理体系认证加2分；通过环境管理体系认证加2分；通过职业健康安全管理体系认证加2分；通过信息安全管理体系认证证书2分；通过</w:t>
            </w:r>
            <w:r>
              <w:rPr>
                <w:rFonts w:hint="eastAsia" w:ascii="宋体" w:hAnsi="宋体" w:eastAsia="宋体" w:cs="Times New Roman"/>
                <w:color w:val="000000"/>
                <w:kern w:val="0"/>
                <w:sz w:val="18"/>
                <w:szCs w:val="18"/>
                <w:lang w:val="en-US" w:eastAsia="zh-CN"/>
              </w:rPr>
              <w:t>社会责任</w:t>
            </w:r>
            <w:r>
              <w:rPr>
                <w:rFonts w:hint="eastAsia" w:ascii="宋体" w:hAnsi="宋体" w:eastAsia="宋体" w:cs="Times New Roman"/>
                <w:color w:val="000000"/>
                <w:kern w:val="0"/>
                <w:sz w:val="18"/>
                <w:szCs w:val="18"/>
              </w:rPr>
              <w:t>管理体系认证加2分；通过五星级物业服务体系认证加2分。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12分</w:t>
            </w:r>
          </w:p>
        </w:tc>
      </w:tr>
      <w:tr>
        <w:tblPrEx>
          <w:tblLayout w:type="fixed"/>
        </w:tblPrEx>
        <w:trPr>
          <w:trHeight w:val="401" w:hRule="atLeast"/>
          <w:jc w:val="center"/>
        </w:trPr>
        <w:tc>
          <w:tcPr>
            <w:tcW w:w="122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highlight w:val="none"/>
                <w:lang w:val="en-US" w:eastAsia="zh-CN"/>
              </w:rPr>
            </w:pPr>
          </w:p>
        </w:tc>
        <w:tc>
          <w:tcPr>
            <w:tcW w:w="78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000000"/>
                <w:kern w:val="0"/>
                <w:sz w:val="18"/>
                <w:szCs w:val="18"/>
                <w:highlight w:val="none"/>
                <w:lang w:val="en-US" w:eastAsia="zh-CN"/>
              </w:rPr>
            </w:pPr>
            <w:r>
              <w:rPr>
                <w:rFonts w:hint="eastAsia" w:ascii="宋体" w:hAnsi="宋体" w:cs="Times New Roman"/>
                <w:color w:val="000000"/>
                <w:kern w:val="0"/>
                <w:sz w:val="18"/>
                <w:szCs w:val="18"/>
                <w:highlight w:val="none"/>
                <w:lang w:val="en-US" w:eastAsia="zh-CN"/>
              </w:rPr>
              <w:t>5</w:t>
            </w:r>
            <w:r>
              <w:rPr>
                <w:rFonts w:hint="eastAsia" w:ascii="宋体" w:hAnsi="宋体" w:eastAsia="宋体" w:cs="Times New Roman"/>
                <w:color w:val="000000"/>
                <w:kern w:val="0"/>
                <w:sz w:val="18"/>
                <w:szCs w:val="18"/>
                <w:highlight w:val="none"/>
                <w:lang w:val="en-US" w:eastAsia="zh-CN"/>
              </w:rPr>
              <w:t>、</w:t>
            </w:r>
            <w:bookmarkStart w:id="17" w:name="OLE_LINK46"/>
            <w:r>
              <w:rPr>
                <w:rFonts w:hint="eastAsia" w:ascii="宋体" w:hAnsi="宋体" w:eastAsia="宋体" w:cs="Times New Roman"/>
                <w:color w:val="000000"/>
                <w:kern w:val="0"/>
                <w:sz w:val="18"/>
                <w:szCs w:val="18"/>
                <w:highlight w:val="none"/>
                <w:lang w:val="en-US" w:eastAsia="zh-CN"/>
              </w:rPr>
              <w:t>本年度列入永嘉县住宅小区物业管理项目红黑榜考核：考核结果为红榜的：获得的1分/个，本项最多得5分。考核结果为黑榜的:获得的扣1分/个，本项最多</w:t>
            </w:r>
            <w:bookmarkStart w:id="18" w:name="OLE_LINK45"/>
            <w:r>
              <w:rPr>
                <w:rFonts w:hint="eastAsia" w:ascii="宋体" w:hAnsi="宋体" w:eastAsia="宋体" w:cs="Times New Roman"/>
                <w:color w:val="000000"/>
                <w:kern w:val="0"/>
                <w:sz w:val="18"/>
                <w:szCs w:val="18"/>
                <w:highlight w:val="none"/>
                <w:lang w:val="en-US" w:eastAsia="zh-CN"/>
              </w:rPr>
              <w:t>扣</w:t>
            </w:r>
            <w:bookmarkEnd w:id="18"/>
            <w:r>
              <w:rPr>
                <w:rFonts w:hint="eastAsia" w:ascii="宋体" w:hAnsi="宋体" w:eastAsia="宋体" w:cs="Times New Roman"/>
                <w:color w:val="000000"/>
                <w:kern w:val="0"/>
                <w:sz w:val="18"/>
                <w:szCs w:val="18"/>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Times New Roman"/>
                <w:color w:val="000000"/>
                <w:kern w:val="0"/>
                <w:sz w:val="18"/>
                <w:szCs w:val="18"/>
                <w:highlight w:val="none"/>
                <w:lang w:val="en-US" w:eastAsia="zh-CN"/>
              </w:rPr>
            </w:pPr>
            <w:r>
              <w:rPr>
                <w:rFonts w:hint="eastAsia" w:ascii="宋体" w:hAnsi="宋体" w:eastAsia="宋体" w:cs="Times New Roman"/>
                <w:color w:val="000000"/>
                <w:kern w:val="0"/>
                <w:sz w:val="18"/>
                <w:szCs w:val="18"/>
                <w:highlight w:val="none"/>
                <w:lang w:val="en-US" w:eastAsia="zh-CN"/>
              </w:rPr>
              <w:t>注:其中黑榜的经复查整改达标后移出的，不扣分。具体名单由物业主管部门提供。</w:t>
            </w:r>
            <w:r>
              <w:rPr>
                <w:rFonts w:hint="eastAsia" w:ascii="宋体" w:hAnsi="宋体" w:eastAsia="宋体" w:cs="Times New Roman"/>
                <w:color w:val="000000"/>
                <w:kern w:val="0"/>
                <w:sz w:val="18"/>
                <w:szCs w:val="18"/>
                <w:highlight w:val="none"/>
                <w:lang w:val="en-US" w:eastAsia="zh-CN"/>
              </w:rPr>
              <w:tab/>
            </w:r>
            <w:bookmarkEnd w:id="17"/>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ind w:firstLine="180" w:firstLineChars="100"/>
              <w:jc w:val="both"/>
              <w:rPr>
                <w:rFonts w:hint="default" w:ascii="宋体" w:hAnsi="宋体" w:eastAsia="宋体" w:cs="Times New Roman"/>
                <w:color w:val="000000"/>
                <w:kern w:val="0"/>
                <w:sz w:val="18"/>
                <w:szCs w:val="18"/>
                <w:highlight w:val="none"/>
                <w:lang w:val="en-US" w:eastAsia="zh-CN"/>
              </w:rPr>
            </w:pPr>
            <w:bookmarkStart w:id="19" w:name="OLE_LINK66"/>
            <w:r>
              <w:rPr>
                <w:rFonts w:hint="eastAsia" w:ascii="宋体" w:hAnsi="宋体" w:eastAsia="宋体" w:cs="Times New Roman"/>
                <w:color w:val="000000"/>
                <w:kern w:val="0"/>
                <w:sz w:val="18"/>
                <w:szCs w:val="18"/>
                <w:highlight w:val="none"/>
                <w:lang w:val="en-US" w:eastAsia="zh-CN"/>
              </w:rPr>
              <w:t>5分</w:t>
            </w:r>
            <w:bookmarkEnd w:id="19"/>
          </w:p>
        </w:tc>
      </w:tr>
      <w:bookmarkEnd w:id="12"/>
      <w:tr>
        <w:tblPrEx>
          <w:tblLayout w:type="fixed"/>
        </w:tblPrEx>
        <w:trPr>
          <w:trHeight w:val="331" w:hRule="atLeast"/>
          <w:jc w:val="center"/>
        </w:trPr>
        <w:tc>
          <w:tcPr>
            <w:tcW w:w="122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三</w:t>
            </w: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default" w:ascii="宋体" w:hAnsi="宋体" w:eastAsia="宋体" w:cs="Times New Roman"/>
                <w:color w:val="000000"/>
                <w:kern w:val="0"/>
                <w:sz w:val="18"/>
                <w:szCs w:val="18"/>
                <w:lang w:val="en-US" w:eastAsia="zh-CN"/>
              </w:rPr>
            </w:pPr>
            <w:bookmarkStart w:id="20" w:name="OLE_LINK24"/>
            <w:r>
              <w:rPr>
                <w:rFonts w:hint="eastAsia" w:ascii="宋体" w:hAnsi="宋体" w:eastAsia="宋体" w:cs="Times New Roman"/>
                <w:color w:val="000000"/>
                <w:kern w:val="0"/>
                <w:sz w:val="18"/>
                <w:szCs w:val="18"/>
                <w:lang w:val="en-US" w:eastAsia="zh-CN"/>
              </w:rPr>
              <w:t>投标项目经理能力（提供近一年社保证明，否则不得分）</w:t>
            </w:r>
            <w:bookmarkEnd w:id="20"/>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宋体" w:hAnsi="宋体" w:eastAsia="宋体" w:cs="Times New Roman"/>
                <w:color w:val="000000"/>
                <w:kern w:val="0"/>
                <w:sz w:val="18"/>
                <w:szCs w:val="18"/>
                <w:lang w:val="en-US" w:eastAsia="zh-CN"/>
              </w:rPr>
            </w:pPr>
          </w:p>
        </w:tc>
      </w:tr>
      <w:tr>
        <w:tblPrEx>
          <w:tblLayout w:type="fixed"/>
        </w:tblPrEx>
        <w:trPr>
          <w:trHeight w:val="346"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highlight w:val="none"/>
              </w:rPr>
            </w:pPr>
            <w:bookmarkStart w:id="21" w:name="OLE_LINK62" w:colFirst="2" w:colLast="2"/>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default" w:ascii="宋体" w:hAnsi="宋体" w:eastAsia="宋体" w:cs="Times New Roman"/>
                <w:color w:val="000000"/>
                <w:kern w:val="0"/>
                <w:sz w:val="18"/>
                <w:szCs w:val="18"/>
                <w:highlight w:val="none"/>
                <w:lang w:val="en-US" w:eastAsia="zh-CN"/>
              </w:rPr>
            </w:pPr>
            <w:r>
              <w:rPr>
                <w:rFonts w:hint="eastAsia" w:ascii="宋体" w:hAnsi="宋体" w:eastAsia="宋体" w:cs="Times New Roman"/>
                <w:color w:val="000000"/>
                <w:kern w:val="0"/>
                <w:sz w:val="18"/>
                <w:szCs w:val="18"/>
                <w:highlight w:val="none"/>
                <w:lang w:val="en-US" w:eastAsia="zh-CN"/>
              </w:rPr>
              <w:t>1、具有专科学历得3分，具有本科学历得5分。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highlight w:val="none"/>
              </w:rPr>
            </w:pPr>
            <w:r>
              <w:rPr>
                <w:rFonts w:hint="eastAsia" w:ascii="宋体" w:hAnsi="宋体" w:eastAsia="宋体" w:cs="Times New Roman"/>
                <w:color w:val="000000"/>
                <w:kern w:val="0"/>
                <w:sz w:val="18"/>
                <w:szCs w:val="18"/>
                <w:highlight w:val="none"/>
                <w:lang w:val="en-US" w:eastAsia="zh-CN"/>
              </w:rPr>
              <w:t>5</w:t>
            </w:r>
            <w:r>
              <w:rPr>
                <w:rFonts w:hint="eastAsia" w:ascii="宋体" w:hAnsi="宋体" w:eastAsia="宋体" w:cs="Times New Roman"/>
                <w:color w:val="000000"/>
                <w:kern w:val="0"/>
                <w:sz w:val="18"/>
                <w:szCs w:val="18"/>
                <w:highlight w:val="none"/>
              </w:rPr>
              <w:t>分</w:t>
            </w:r>
          </w:p>
        </w:tc>
      </w:tr>
      <w:tr>
        <w:tblPrEx>
          <w:tblLayout w:type="fixed"/>
        </w:tblPrEx>
        <w:trPr>
          <w:trHeight w:val="316" w:hRule="atLeast"/>
          <w:jc w:val="center"/>
        </w:trPr>
        <w:tc>
          <w:tcPr>
            <w:tcW w:w="1229" w:type="dxa"/>
            <w:vMerge w:val="continue"/>
            <w:tcBorders>
              <w:left w:val="single" w:color="000000" w:sz="4" w:space="0"/>
              <w:right w:val="single" w:color="000000" w:sz="4" w:space="0"/>
            </w:tcBorders>
            <w:vAlign w:val="center"/>
          </w:tcPr>
          <w:p>
            <w:pPr>
              <w:spacing w:line="320" w:lineRule="exact"/>
              <w:jc w:val="left"/>
              <w:rPr>
                <w:rFonts w:hint="eastAsia" w:ascii="宋体" w:hAnsi="宋体" w:eastAsia="宋体" w:cs="Times New Roman"/>
                <w:color w:val="000000"/>
                <w:kern w:val="0"/>
                <w:sz w:val="18"/>
                <w:szCs w:val="18"/>
                <w:highlight w:val="none"/>
              </w:rPr>
            </w:pP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default" w:ascii="宋体" w:hAnsi="宋体" w:eastAsia="宋体" w:cs="Times New Roman"/>
                <w:color w:val="000000"/>
                <w:kern w:val="0"/>
                <w:sz w:val="18"/>
                <w:szCs w:val="18"/>
                <w:highlight w:val="none"/>
                <w:lang w:val="en-US" w:eastAsia="zh-CN"/>
              </w:rPr>
            </w:pPr>
            <w:r>
              <w:rPr>
                <w:rFonts w:hint="eastAsia" w:ascii="宋体" w:hAnsi="宋体" w:eastAsia="宋体" w:cs="Times New Roman"/>
                <w:color w:val="000000"/>
                <w:kern w:val="0"/>
                <w:sz w:val="18"/>
                <w:szCs w:val="18"/>
                <w:highlight w:val="none"/>
                <w:lang w:val="en-US" w:eastAsia="zh-CN"/>
              </w:rPr>
              <w:t>2、具有初级职称得2分，具有中级及以上职称得4分，</w:t>
            </w:r>
            <w:bookmarkStart w:id="22" w:name="OLE_LINK49"/>
            <w:r>
              <w:rPr>
                <w:rFonts w:hint="eastAsia" w:ascii="宋体" w:hAnsi="宋体" w:eastAsia="宋体" w:cs="Times New Roman"/>
                <w:color w:val="000000"/>
                <w:kern w:val="0"/>
                <w:sz w:val="18"/>
                <w:szCs w:val="18"/>
                <w:highlight w:val="none"/>
                <w:lang w:val="en-US" w:eastAsia="zh-CN"/>
              </w:rPr>
              <w:t>具有高级及以上职称得6分。</w:t>
            </w:r>
            <w:bookmarkEnd w:id="22"/>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highlight w:val="none"/>
                <w:lang w:val="en-US" w:eastAsia="zh-CN"/>
              </w:rPr>
            </w:pPr>
            <w:r>
              <w:rPr>
                <w:rFonts w:hint="eastAsia" w:ascii="宋体" w:hAnsi="宋体" w:eastAsia="宋体" w:cs="Times New Roman"/>
                <w:color w:val="000000"/>
                <w:kern w:val="0"/>
                <w:sz w:val="18"/>
                <w:szCs w:val="18"/>
                <w:highlight w:val="none"/>
                <w:lang w:val="en-US" w:eastAsia="zh-CN"/>
              </w:rPr>
              <w:t>6</w:t>
            </w:r>
            <w:r>
              <w:rPr>
                <w:rFonts w:hint="eastAsia" w:ascii="宋体" w:hAnsi="宋体" w:eastAsia="宋体" w:cs="Times New Roman"/>
                <w:color w:val="000000"/>
                <w:kern w:val="0"/>
                <w:sz w:val="18"/>
                <w:szCs w:val="18"/>
                <w:highlight w:val="none"/>
              </w:rPr>
              <w:t>分</w:t>
            </w:r>
          </w:p>
        </w:tc>
      </w:tr>
      <w:bookmarkEnd w:id="21"/>
      <w:tr>
        <w:tblPrEx>
          <w:tblLayout w:type="fixed"/>
        </w:tblPrEx>
        <w:trPr>
          <w:trHeight w:val="351" w:hRule="atLeast"/>
          <w:jc w:val="center"/>
        </w:trPr>
        <w:tc>
          <w:tcPr>
            <w:tcW w:w="1229" w:type="dxa"/>
            <w:vMerge w:val="continue"/>
            <w:tcBorders>
              <w:left w:val="single" w:color="000000" w:sz="4" w:space="0"/>
              <w:right w:val="single" w:color="000000" w:sz="4" w:space="0"/>
            </w:tcBorders>
            <w:vAlign w:val="center"/>
          </w:tcPr>
          <w:p>
            <w:pPr>
              <w:spacing w:line="320" w:lineRule="exact"/>
              <w:jc w:val="left"/>
              <w:rPr>
                <w:rFonts w:hint="eastAsia" w:ascii="宋体" w:hAnsi="宋体" w:eastAsia="宋体" w:cs="Times New Roman"/>
                <w:color w:val="000000"/>
                <w:kern w:val="0"/>
                <w:sz w:val="18"/>
                <w:szCs w:val="18"/>
              </w:rPr>
            </w:pP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3、具有物业企业经理上岗证</w:t>
            </w:r>
            <w:r>
              <w:rPr>
                <w:rFonts w:hint="eastAsia" w:ascii="宋体" w:hAnsi="宋体" w:cs="Times New Roman"/>
                <w:color w:val="000000"/>
                <w:kern w:val="0"/>
                <w:sz w:val="18"/>
                <w:szCs w:val="18"/>
                <w:lang w:val="en-US" w:eastAsia="zh-CN"/>
              </w:rPr>
              <w:t>得3分，具有</w:t>
            </w:r>
            <w:r>
              <w:rPr>
                <w:rFonts w:hint="eastAsia" w:ascii="宋体" w:hAnsi="宋体" w:eastAsia="宋体" w:cs="Times New Roman"/>
                <w:color w:val="000000"/>
                <w:kern w:val="0"/>
                <w:sz w:val="18"/>
                <w:szCs w:val="18"/>
                <w:lang w:val="en-US" w:eastAsia="zh-CN"/>
              </w:rPr>
              <w:t>物业管理师证得</w:t>
            </w:r>
            <w:r>
              <w:rPr>
                <w:rFonts w:hint="eastAsia" w:ascii="宋体" w:hAnsi="宋体" w:cs="Times New Roman"/>
                <w:color w:val="000000"/>
                <w:kern w:val="0"/>
                <w:sz w:val="18"/>
                <w:szCs w:val="18"/>
                <w:lang w:val="en-US" w:eastAsia="zh-CN"/>
              </w:rPr>
              <w:t>3</w:t>
            </w:r>
            <w:r>
              <w:rPr>
                <w:rFonts w:hint="eastAsia" w:ascii="宋体" w:hAnsi="宋体" w:eastAsia="宋体" w:cs="Times New Roman"/>
                <w:color w:val="000000"/>
                <w:kern w:val="0"/>
                <w:sz w:val="18"/>
                <w:szCs w:val="18"/>
                <w:lang w:val="en-US" w:eastAsia="zh-CN"/>
              </w:rPr>
              <w:t>分。</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6</w:t>
            </w:r>
            <w:r>
              <w:rPr>
                <w:rFonts w:hint="eastAsia" w:ascii="宋体" w:hAnsi="宋体" w:eastAsia="宋体" w:cs="Times New Roman"/>
                <w:color w:val="000000"/>
                <w:kern w:val="0"/>
                <w:sz w:val="18"/>
                <w:szCs w:val="18"/>
              </w:rPr>
              <w:t>分</w:t>
            </w:r>
          </w:p>
        </w:tc>
      </w:tr>
      <w:tr>
        <w:tblPrEx>
          <w:tblLayout w:type="fixed"/>
        </w:tblPrEx>
        <w:trPr>
          <w:trHeight w:val="60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top"/>
          </w:tcPr>
          <w:p>
            <w:pPr>
              <w:spacing w:line="320" w:lineRule="exact"/>
              <w:jc w:val="left"/>
              <w:rPr>
                <w:rFonts w:hint="eastAsia" w:ascii="宋体" w:hAnsi="宋体" w:eastAsia="宋体" w:cs="Times New Roman"/>
                <w:color w:val="000000"/>
                <w:kern w:val="0"/>
                <w:sz w:val="18"/>
                <w:szCs w:val="18"/>
                <w:highlight w:val="none"/>
              </w:rPr>
            </w:pPr>
          </w:p>
        </w:tc>
        <w:tc>
          <w:tcPr>
            <w:tcW w:w="786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default" w:ascii="宋体" w:hAnsi="宋体" w:eastAsia="宋体" w:cs="Times New Roman"/>
                <w:color w:val="000000"/>
                <w:kern w:val="0"/>
                <w:sz w:val="18"/>
                <w:szCs w:val="18"/>
                <w:highlight w:val="none"/>
                <w:lang w:val="en-US" w:eastAsia="zh-CN"/>
              </w:rPr>
            </w:pPr>
            <w:bookmarkStart w:id="23" w:name="OLE_LINK25"/>
            <w:r>
              <w:rPr>
                <w:rFonts w:hint="eastAsia" w:ascii="宋体" w:hAnsi="宋体" w:eastAsia="宋体" w:cs="Times New Roman"/>
                <w:color w:val="000000"/>
                <w:kern w:val="0"/>
                <w:sz w:val="18"/>
                <w:szCs w:val="18"/>
                <w:highlight w:val="none"/>
                <w:lang w:val="en-US" w:eastAsia="zh-CN"/>
              </w:rPr>
              <w:t>4</w:t>
            </w:r>
            <w:r>
              <w:rPr>
                <w:rFonts w:hint="eastAsia" w:ascii="宋体" w:hAnsi="宋体" w:eastAsia="宋体" w:cs="Times New Roman"/>
                <w:color w:val="000000"/>
                <w:kern w:val="0"/>
                <w:sz w:val="18"/>
                <w:szCs w:val="18"/>
                <w:highlight w:val="none"/>
              </w:rPr>
              <w:t>、</w:t>
            </w:r>
            <w:r>
              <w:rPr>
                <w:rFonts w:hint="eastAsia" w:ascii="宋体" w:hAnsi="宋体" w:eastAsia="宋体" w:cs="Times New Roman"/>
                <w:color w:val="000000"/>
                <w:kern w:val="0"/>
                <w:sz w:val="18"/>
                <w:szCs w:val="18"/>
                <w:highlight w:val="none"/>
                <w:lang w:val="en-US" w:eastAsia="zh-CN"/>
              </w:rPr>
              <w:t>在投标人单位任职满1年得1分</w:t>
            </w:r>
            <w:bookmarkStart w:id="24" w:name="OLE_LINK67"/>
            <w:r>
              <w:rPr>
                <w:rFonts w:hint="eastAsia" w:ascii="宋体" w:hAnsi="宋体" w:eastAsia="宋体" w:cs="Times New Roman"/>
                <w:color w:val="000000"/>
                <w:kern w:val="0"/>
                <w:sz w:val="18"/>
                <w:szCs w:val="18"/>
                <w:highlight w:val="none"/>
                <w:lang w:val="en-US" w:eastAsia="zh-CN"/>
              </w:rPr>
              <w:t>，</w:t>
            </w:r>
            <w:bookmarkStart w:id="25" w:name="OLE_LINK51"/>
            <w:r>
              <w:rPr>
                <w:rFonts w:hint="eastAsia" w:ascii="宋体" w:hAnsi="宋体" w:eastAsia="宋体" w:cs="Times New Roman"/>
                <w:color w:val="000000"/>
                <w:kern w:val="0"/>
                <w:sz w:val="18"/>
                <w:szCs w:val="18"/>
                <w:highlight w:val="none"/>
                <w:lang w:val="en-US" w:eastAsia="zh-CN"/>
              </w:rPr>
              <w:t>满2年得2分</w:t>
            </w:r>
            <w:bookmarkEnd w:id="25"/>
            <w:r>
              <w:rPr>
                <w:rFonts w:hint="eastAsia" w:ascii="宋体" w:hAnsi="宋体" w:eastAsia="宋体" w:cs="Times New Roman"/>
                <w:color w:val="000000"/>
                <w:kern w:val="0"/>
                <w:sz w:val="18"/>
                <w:szCs w:val="18"/>
                <w:highlight w:val="none"/>
                <w:lang w:val="en-US" w:eastAsia="zh-CN"/>
              </w:rPr>
              <w:t>，</w:t>
            </w:r>
            <w:bookmarkEnd w:id="24"/>
            <w:r>
              <w:rPr>
                <w:rFonts w:hint="eastAsia" w:ascii="宋体" w:hAnsi="宋体" w:eastAsia="宋体" w:cs="Times New Roman"/>
                <w:color w:val="000000"/>
                <w:kern w:val="0"/>
                <w:sz w:val="18"/>
                <w:szCs w:val="18"/>
                <w:highlight w:val="none"/>
                <w:lang w:val="en-US" w:eastAsia="zh-CN"/>
              </w:rPr>
              <w:t>满3年得3分，满5年得5分，需提供社保证明。</w:t>
            </w:r>
            <w:bookmarkEnd w:id="23"/>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highlight w:val="none"/>
              </w:rPr>
            </w:pPr>
            <w:bookmarkStart w:id="26" w:name="OLE_LINK65"/>
            <w:r>
              <w:rPr>
                <w:rFonts w:hint="eastAsia" w:ascii="宋体" w:hAnsi="宋体" w:eastAsia="宋体" w:cs="Times New Roman"/>
                <w:color w:val="000000"/>
                <w:kern w:val="0"/>
                <w:sz w:val="18"/>
                <w:szCs w:val="18"/>
                <w:highlight w:val="none"/>
                <w:lang w:val="en-US" w:eastAsia="zh-CN"/>
              </w:rPr>
              <w:t>5</w:t>
            </w:r>
            <w:r>
              <w:rPr>
                <w:rFonts w:hint="eastAsia" w:ascii="宋体" w:hAnsi="宋体" w:eastAsia="宋体" w:cs="Times New Roman"/>
                <w:color w:val="000000"/>
                <w:kern w:val="0"/>
                <w:sz w:val="18"/>
                <w:szCs w:val="18"/>
                <w:highlight w:val="none"/>
              </w:rPr>
              <w:t>分</w:t>
            </w:r>
            <w:bookmarkEnd w:id="26"/>
          </w:p>
        </w:tc>
      </w:tr>
      <w:tr>
        <w:tblPrEx>
          <w:tblLayout w:type="fixed"/>
        </w:tblPrEx>
        <w:trPr>
          <w:trHeight w:val="326"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vAlign w:val="top"/>
          </w:tcPr>
          <w:p>
            <w:pPr>
              <w:spacing w:line="320" w:lineRule="exac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合    计</w:t>
            </w:r>
          </w:p>
        </w:tc>
        <w:tc>
          <w:tcPr>
            <w:tcW w:w="83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100分</w:t>
            </w:r>
          </w:p>
        </w:tc>
      </w:tr>
      <w:bookmarkEnd w:id="13"/>
    </w:tbl>
    <w:p>
      <w:pPr>
        <w:spacing w:line="300" w:lineRule="exact"/>
        <w:ind w:left="-180" w:leftChars="-86" w:firstLine="400" w:firstLineChars="167"/>
        <w:rPr>
          <w:rFonts w:hint="eastAsia"/>
          <w:color w:val="000000"/>
          <w:sz w:val="24"/>
        </w:rPr>
      </w:pPr>
      <w:r>
        <w:rPr>
          <w:rFonts w:hint="eastAsia"/>
          <w:color w:val="000000"/>
          <w:sz w:val="24"/>
        </w:rPr>
        <w:t>注：1、投标单位提供的所有资料中营业执照、企业认证证书、优秀（示范）大厦（小区）证书、项目负责人职称、学历证书等</w:t>
      </w:r>
      <w:r>
        <w:rPr>
          <w:rFonts w:hint="eastAsia"/>
          <w:color w:val="000000"/>
          <w:sz w:val="24"/>
          <w:lang w:eastAsia="zh-CN"/>
        </w:rPr>
        <w:t>复印件</w:t>
      </w:r>
      <w:r>
        <w:rPr>
          <w:rFonts w:hint="eastAsia"/>
          <w:color w:val="000000"/>
          <w:sz w:val="24"/>
        </w:rPr>
        <w:t>须带至开标现场以备核实，牌匾部分可带政府加盖公章证明</w:t>
      </w:r>
      <w:r>
        <w:rPr>
          <w:rFonts w:hint="eastAsia"/>
          <w:color w:val="000000"/>
          <w:sz w:val="24"/>
          <w:lang w:eastAsia="zh-CN"/>
        </w:rPr>
        <w:t>复印件</w:t>
      </w:r>
      <w:r>
        <w:rPr>
          <w:rFonts w:hint="eastAsia"/>
          <w:color w:val="000000"/>
          <w:sz w:val="24"/>
        </w:rPr>
        <w:t>；2、高层建筑指九层以上（含九层）建筑；3、政府仅指县、区、市、省、国家级人民政府；政府行业主管部门仅指主管住建局；</w:t>
      </w:r>
      <w:r>
        <w:rPr>
          <w:rFonts w:hint="eastAsia"/>
          <w:color w:val="000000"/>
          <w:sz w:val="24"/>
          <w:lang w:val="en-US" w:eastAsia="zh-CN"/>
        </w:rPr>
        <w:t>4、业绩证明材料应提供物业主管部门出具的证明；（模版可参照附件八）；5</w:t>
      </w:r>
      <w:r>
        <w:rPr>
          <w:rFonts w:hint="eastAsia"/>
          <w:color w:val="000000"/>
          <w:sz w:val="24"/>
        </w:rPr>
        <w:t>、本表数字计算不采用四舍五入法；</w:t>
      </w:r>
      <w:r>
        <w:rPr>
          <w:rFonts w:hint="eastAsia"/>
          <w:color w:val="000000"/>
          <w:sz w:val="24"/>
          <w:lang w:val="en-US" w:eastAsia="zh-CN"/>
        </w:rPr>
        <w:t>6</w:t>
      </w:r>
      <w:r>
        <w:rPr>
          <w:rFonts w:hint="eastAsia"/>
          <w:color w:val="000000"/>
          <w:sz w:val="24"/>
        </w:rPr>
        <w:t>、本表在计分过程中如发生争议，由评标委员会在物业招投标监理机构及物业主管部门的指导下，确定计分标准。</w:t>
      </w:r>
    </w:p>
    <w:p>
      <w:pPr>
        <w:spacing w:line="400" w:lineRule="exact"/>
        <w:rPr>
          <w:rFonts w:hint="eastAsia"/>
          <w:color w:val="000000"/>
          <w:sz w:val="24"/>
        </w:rPr>
      </w:pPr>
      <w:r>
        <w:rPr>
          <w:rFonts w:hint="eastAsia"/>
          <w:color w:val="000000"/>
          <w:sz w:val="24"/>
        </w:rPr>
        <w:t xml:space="preserve">评标人签名：                                            年   月   日   </w:t>
      </w:r>
    </w:p>
    <w:bookmarkEnd w:id="3"/>
    <w:p>
      <w:pPr>
        <w:spacing w:line="300" w:lineRule="exact"/>
        <w:ind w:right="-686" w:rightChars="-327"/>
        <w:rPr>
          <w:rFonts w:hint="eastAsia"/>
          <w:sz w:val="28"/>
        </w:rPr>
      </w:pPr>
      <w:r>
        <w:rPr>
          <w:rFonts w:hint="eastAsia"/>
          <w:color w:val="auto"/>
          <w:szCs w:val="21"/>
          <w:highlight w:val="none"/>
        </w:rPr>
        <w:t xml:space="preserve">                 </w:t>
      </w:r>
    </w:p>
    <w:p>
      <w:pPr>
        <w:spacing w:line="400" w:lineRule="exact"/>
        <w:rPr>
          <w:rFonts w:hint="eastAsia"/>
          <w:sz w:val="28"/>
        </w:rPr>
      </w:pPr>
    </w:p>
    <w:p>
      <w:pPr>
        <w:spacing w:line="400" w:lineRule="exact"/>
        <w:rPr>
          <w:rFonts w:hint="eastAsia"/>
          <w:sz w:val="28"/>
        </w:rPr>
      </w:pPr>
    </w:p>
    <w:p>
      <w:pPr>
        <w:spacing w:line="400" w:lineRule="exact"/>
        <w:rPr>
          <w:rFonts w:hint="eastAsia"/>
          <w:sz w:val="28"/>
        </w:rPr>
      </w:pPr>
    </w:p>
    <w:p>
      <w:pPr>
        <w:spacing w:line="400" w:lineRule="exact"/>
        <w:rPr>
          <w:rFonts w:hint="eastAsia"/>
          <w:sz w:val="28"/>
        </w:rPr>
      </w:pPr>
      <w:r>
        <w:rPr>
          <w:rFonts w:hint="eastAsia"/>
          <w:sz w:val="28"/>
        </w:rPr>
        <w:t>附表五</w:t>
      </w:r>
    </w:p>
    <w:p>
      <w:pPr>
        <w:spacing w:line="400" w:lineRule="exact"/>
        <w:ind w:firstLine="570"/>
        <w:jc w:val="center"/>
        <w:rPr>
          <w:rFonts w:hint="eastAsia"/>
          <w:b/>
          <w:bCs/>
          <w:sz w:val="36"/>
        </w:rPr>
      </w:pPr>
      <w:r>
        <w:rPr>
          <w:rFonts w:hint="eastAsia"/>
          <w:b/>
          <w:bCs/>
          <w:sz w:val="36"/>
        </w:rPr>
        <w:t>技术标计分表</w:t>
      </w:r>
    </w:p>
    <w:tbl>
      <w:tblPr>
        <w:tblStyle w:val="14"/>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9"/>
        <w:gridCol w:w="1330"/>
        <w:gridCol w:w="1381"/>
      </w:tblGrid>
      <w:tr>
        <w:tblPrEx>
          <w:tblLayout w:type="fixed"/>
        </w:tblPrEx>
        <w:trPr>
          <w:trHeight w:val="227" w:hRule="atLeast"/>
          <w:jc w:val="center"/>
        </w:trPr>
        <w:tc>
          <w:tcPr>
            <w:tcW w:w="6139" w:type="dxa"/>
            <w:vAlign w:val="top"/>
          </w:tcPr>
          <w:p>
            <w:pPr>
              <w:spacing w:line="420" w:lineRule="exact"/>
              <w:jc w:val="center"/>
              <w:rPr>
                <w:rFonts w:hint="eastAsia"/>
                <w:sz w:val="28"/>
              </w:rPr>
            </w:pPr>
            <w:r>
              <w:rPr>
                <w:rFonts w:hint="eastAsia"/>
                <w:sz w:val="28"/>
              </w:rPr>
              <w:t>评   分   内   容</w:t>
            </w:r>
          </w:p>
        </w:tc>
        <w:tc>
          <w:tcPr>
            <w:tcW w:w="1330" w:type="dxa"/>
            <w:vAlign w:val="top"/>
          </w:tcPr>
          <w:p>
            <w:pPr>
              <w:spacing w:line="420" w:lineRule="exact"/>
              <w:jc w:val="center"/>
              <w:rPr>
                <w:rFonts w:hint="eastAsia"/>
                <w:sz w:val="28"/>
              </w:rPr>
            </w:pPr>
            <w:r>
              <w:rPr>
                <w:rFonts w:hint="eastAsia"/>
                <w:sz w:val="28"/>
              </w:rPr>
              <w:t>标准分</w:t>
            </w:r>
          </w:p>
        </w:tc>
        <w:tc>
          <w:tcPr>
            <w:tcW w:w="1381" w:type="dxa"/>
            <w:vAlign w:val="top"/>
          </w:tcPr>
          <w:p>
            <w:pPr>
              <w:spacing w:line="420" w:lineRule="exact"/>
              <w:jc w:val="center"/>
              <w:rPr>
                <w:rFonts w:hint="eastAsia"/>
                <w:sz w:val="28"/>
              </w:rPr>
            </w:pPr>
            <w:r>
              <w:rPr>
                <w:rFonts w:hint="eastAsia"/>
                <w:sz w:val="28"/>
              </w:rPr>
              <w:t>得 分</w:t>
            </w: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1、前期物业管理介入阶段的人员配备、介入方案</w:t>
            </w:r>
          </w:p>
        </w:tc>
        <w:tc>
          <w:tcPr>
            <w:tcW w:w="1330" w:type="dxa"/>
            <w:vAlign w:val="top"/>
          </w:tcPr>
          <w:p>
            <w:pPr>
              <w:spacing w:line="420" w:lineRule="exact"/>
              <w:jc w:val="center"/>
              <w:rPr>
                <w:rFonts w:hint="eastAsia"/>
                <w:sz w:val="28"/>
              </w:rPr>
            </w:pPr>
            <w:r>
              <w:rPr>
                <w:rFonts w:hint="eastAsia"/>
                <w:sz w:val="28"/>
              </w:rPr>
              <w:t>（15）</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⑴专业人员配备及工作流程</w:t>
            </w:r>
          </w:p>
        </w:tc>
        <w:tc>
          <w:tcPr>
            <w:tcW w:w="1330" w:type="dxa"/>
            <w:vAlign w:val="top"/>
          </w:tcPr>
          <w:p>
            <w:pPr>
              <w:spacing w:line="420" w:lineRule="exact"/>
              <w:jc w:val="center"/>
              <w:rPr>
                <w:rFonts w:hint="eastAsia"/>
                <w:sz w:val="28"/>
              </w:rPr>
            </w:pPr>
            <w:r>
              <w:rPr>
                <w:rFonts w:hint="eastAsia"/>
                <w:sz w:val="28"/>
              </w:rPr>
              <w:t>8</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⑵介入的实施方案</w:t>
            </w:r>
          </w:p>
        </w:tc>
        <w:tc>
          <w:tcPr>
            <w:tcW w:w="1330" w:type="dxa"/>
            <w:vAlign w:val="top"/>
          </w:tcPr>
          <w:p>
            <w:pPr>
              <w:spacing w:line="420" w:lineRule="exact"/>
              <w:jc w:val="center"/>
              <w:rPr>
                <w:rFonts w:hint="eastAsia"/>
                <w:sz w:val="28"/>
              </w:rPr>
            </w:pPr>
            <w:r>
              <w:rPr>
                <w:rFonts w:hint="eastAsia"/>
                <w:sz w:val="28"/>
              </w:rPr>
              <w:t>7</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2、物业管理机构设置及资源配置</w:t>
            </w:r>
          </w:p>
        </w:tc>
        <w:tc>
          <w:tcPr>
            <w:tcW w:w="1330" w:type="dxa"/>
            <w:vAlign w:val="top"/>
          </w:tcPr>
          <w:p>
            <w:pPr>
              <w:spacing w:line="420" w:lineRule="exact"/>
              <w:jc w:val="center"/>
              <w:rPr>
                <w:rFonts w:hint="eastAsia"/>
                <w:sz w:val="28"/>
              </w:rPr>
            </w:pPr>
            <w:r>
              <w:rPr>
                <w:rFonts w:hint="eastAsia"/>
                <w:sz w:val="28"/>
              </w:rPr>
              <w:t>（17）</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⑴管理架构及公司督导的模式</w:t>
            </w:r>
          </w:p>
        </w:tc>
        <w:tc>
          <w:tcPr>
            <w:tcW w:w="1330" w:type="dxa"/>
            <w:vAlign w:val="top"/>
          </w:tcPr>
          <w:p>
            <w:pPr>
              <w:spacing w:line="420" w:lineRule="exact"/>
              <w:jc w:val="center"/>
              <w:rPr>
                <w:rFonts w:hint="eastAsia"/>
                <w:sz w:val="28"/>
              </w:rPr>
            </w:pPr>
            <w:r>
              <w:rPr>
                <w:rFonts w:hint="eastAsia"/>
                <w:sz w:val="28"/>
              </w:rPr>
              <w:t>7</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⑵各岗位职责、专业人员配备及素质</w:t>
            </w:r>
          </w:p>
        </w:tc>
        <w:tc>
          <w:tcPr>
            <w:tcW w:w="1330" w:type="dxa"/>
            <w:vAlign w:val="top"/>
          </w:tcPr>
          <w:p>
            <w:pPr>
              <w:spacing w:line="420" w:lineRule="exact"/>
              <w:jc w:val="center"/>
              <w:rPr>
                <w:rFonts w:hint="eastAsia"/>
                <w:sz w:val="28"/>
              </w:rPr>
            </w:pPr>
            <w:r>
              <w:rPr>
                <w:rFonts w:hint="eastAsia"/>
                <w:sz w:val="28"/>
              </w:rPr>
              <w:t>5</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⑶对外协调机制和内部服务反应机制</w:t>
            </w:r>
          </w:p>
        </w:tc>
        <w:tc>
          <w:tcPr>
            <w:tcW w:w="1330" w:type="dxa"/>
            <w:vAlign w:val="top"/>
          </w:tcPr>
          <w:p>
            <w:pPr>
              <w:spacing w:line="420" w:lineRule="exact"/>
              <w:jc w:val="center"/>
              <w:rPr>
                <w:rFonts w:hint="eastAsia"/>
                <w:sz w:val="28"/>
              </w:rPr>
            </w:pPr>
            <w:r>
              <w:rPr>
                <w:rFonts w:hint="eastAsia"/>
                <w:sz w:val="28"/>
              </w:rPr>
              <w:t>5</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3、实际操作管理方案</w:t>
            </w:r>
          </w:p>
        </w:tc>
        <w:tc>
          <w:tcPr>
            <w:tcW w:w="1330" w:type="dxa"/>
            <w:vAlign w:val="top"/>
          </w:tcPr>
          <w:p>
            <w:pPr>
              <w:spacing w:line="420" w:lineRule="exact"/>
              <w:jc w:val="center"/>
              <w:rPr>
                <w:rFonts w:hint="eastAsia"/>
                <w:sz w:val="28"/>
              </w:rPr>
            </w:pPr>
            <w:r>
              <w:rPr>
                <w:rFonts w:hint="eastAsia"/>
                <w:sz w:val="28"/>
              </w:rPr>
              <w:t>（46）</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⑴房屋接管验收及二次装修的管理、维护方案</w:t>
            </w:r>
          </w:p>
        </w:tc>
        <w:tc>
          <w:tcPr>
            <w:tcW w:w="1330" w:type="dxa"/>
            <w:vAlign w:val="top"/>
          </w:tcPr>
          <w:p>
            <w:pPr>
              <w:spacing w:line="420" w:lineRule="exact"/>
              <w:jc w:val="center"/>
              <w:rPr>
                <w:rFonts w:hint="eastAsia"/>
                <w:sz w:val="28"/>
              </w:rPr>
            </w:pPr>
            <w:r>
              <w:rPr>
                <w:rFonts w:hint="eastAsia"/>
                <w:sz w:val="28"/>
              </w:rPr>
              <w:t>3</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⑵共用设备设施及房屋保养维护</w:t>
            </w:r>
          </w:p>
        </w:tc>
        <w:tc>
          <w:tcPr>
            <w:tcW w:w="1330" w:type="dxa"/>
            <w:vAlign w:val="top"/>
          </w:tcPr>
          <w:p>
            <w:pPr>
              <w:spacing w:line="420" w:lineRule="exact"/>
              <w:jc w:val="center"/>
              <w:rPr>
                <w:rFonts w:hint="eastAsia"/>
                <w:sz w:val="28"/>
              </w:rPr>
            </w:pPr>
            <w:r>
              <w:rPr>
                <w:rFonts w:hint="eastAsia"/>
                <w:sz w:val="28"/>
              </w:rPr>
              <w:t>6</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⑶环境卫生及绿化养护管理服务</w:t>
            </w:r>
          </w:p>
        </w:tc>
        <w:tc>
          <w:tcPr>
            <w:tcW w:w="1330" w:type="dxa"/>
            <w:vAlign w:val="top"/>
          </w:tcPr>
          <w:p>
            <w:pPr>
              <w:spacing w:line="420" w:lineRule="exact"/>
              <w:jc w:val="center"/>
              <w:rPr>
                <w:rFonts w:hint="eastAsia"/>
                <w:sz w:val="28"/>
              </w:rPr>
            </w:pPr>
            <w:r>
              <w:rPr>
                <w:rFonts w:hint="eastAsia"/>
                <w:sz w:val="28"/>
              </w:rPr>
              <w:t>6</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⑷车辆、安保、消防等管理方案及措施</w:t>
            </w:r>
          </w:p>
        </w:tc>
        <w:tc>
          <w:tcPr>
            <w:tcW w:w="1330" w:type="dxa"/>
            <w:vAlign w:val="top"/>
          </w:tcPr>
          <w:p>
            <w:pPr>
              <w:spacing w:line="420" w:lineRule="exact"/>
              <w:jc w:val="center"/>
              <w:rPr>
                <w:rFonts w:hint="eastAsia"/>
                <w:sz w:val="28"/>
              </w:rPr>
            </w:pPr>
            <w:r>
              <w:rPr>
                <w:rFonts w:hint="eastAsia"/>
                <w:sz w:val="28"/>
              </w:rPr>
              <w:t>6</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⑸</w:t>
            </w:r>
            <w:r>
              <w:rPr>
                <w:rFonts w:hint="eastAsia"/>
                <w:spacing w:val="-20"/>
                <w:sz w:val="28"/>
              </w:rPr>
              <w:t>经费收支预算和增收节支措施，提供报价并做明细方案</w:t>
            </w:r>
          </w:p>
        </w:tc>
        <w:tc>
          <w:tcPr>
            <w:tcW w:w="1330" w:type="dxa"/>
            <w:vAlign w:val="top"/>
          </w:tcPr>
          <w:p>
            <w:pPr>
              <w:spacing w:line="420" w:lineRule="exact"/>
              <w:jc w:val="center"/>
              <w:rPr>
                <w:rFonts w:hint="eastAsia"/>
                <w:sz w:val="28"/>
              </w:rPr>
            </w:pPr>
            <w:r>
              <w:rPr>
                <w:rFonts w:hint="eastAsia"/>
                <w:sz w:val="28"/>
              </w:rPr>
              <w:t>15</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⑹社区文化及精神文明建设及特约服务</w:t>
            </w:r>
          </w:p>
        </w:tc>
        <w:tc>
          <w:tcPr>
            <w:tcW w:w="1330" w:type="dxa"/>
            <w:vAlign w:val="top"/>
          </w:tcPr>
          <w:p>
            <w:pPr>
              <w:spacing w:line="420" w:lineRule="exact"/>
              <w:jc w:val="center"/>
              <w:rPr>
                <w:rFonts w:hint="eastAsia"/>
                <w:sz w:val="28"/>
              </w:rPr>
            </w:pPr>
            <w:r>
              <w:rPr>
                <w:rFonts w:hint="eastAsia"/>
                <w:sz w:val="28"/>
              </w:rPr>
              <w:t>3</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⑺制订各项管理应急方案</w:t>
            </w:r>
          </w:p>
        </w:tc>
        <w:tc>
          <w:tcPr>
            <w:tcW w:w="1330" w:type="dxa"/>
            <w:vAlign w:val="top"/>
          </w:tcPr>
          <w:p>
            <w:pPr>
              <w:spacing w:line="420" w:lineRule="exact"/>
              <w:jc w:val="center"/>
              <w:rPr>
                <w:rFonts w:hint="eastAsia"/>
                <w:sz w:val="28"/>
              </w:rPr>
            </w:pPr>
            <w:r>
              <w:rPr>
                <w:rFonts w:hint="eastAsia"/>
                <w:sz w:val="28"/>
              </w:rPr>
              <w:t xml:space="preserve">4 </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⑻提供服务人员培训方案及服务质量改进方案</w:t>
            </w:r>
          </w:p>
        </w:tc>
        <w:tc>
          <w:tcPr>
            <w:tcW w:w="1330" w:type="dxa"/>
            <w:vAlign w:val="top"/>
          </w:tcPr>
          <w:p>
            <w:pPr>
              <w:spacing w:line="420" w:lineRule="exact"/>
              <w:jc w:val="center"/>
              <w:rPr>
                <w:rFonts w:hint="eastAsia"/>
                <w:sz w:val="28"/>
              </w:rPr>
            </w:pPr>
            <w:r>
              <w:rPr>
                <w:rFonts w:hint="eastAsia"/>
                <w:sz w:val="28"/>
              </w:rPr>
              <w:t xml:space="preserve">3 </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4、创优规划及创新管理方法</w:t>
            </w:r>
          </w:p>
        </w:tc>
        <w:tc>
          <w:tcPr>
            <w:tcW w:w="1330" w:type="dxa"/>
            <w:vAlign w:val="top"/>
          </w:tcPr>
          <w:p>
            <w:pPr>
              <w:spacing w:line="420" w:lineRule="exact"/>
              <w:jc w:val="center"/>
              <w:rPr>
                <w:rFonts w:hint="eastAsia"/>
                <w:sz w:val="28"/>
              </w:rPr>
            </w:pPr>
            <w:r>
              <w:rPr>
                <w:rFonts w:hint="eastAsia"/>
                <w:sz w:val="28"/>
              </w:rPr>
              <w:t>（12）</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⑴管理科技含量及智能化建设构想</w:t>
            </w:r>
          </w:p>
        </w:tc>
        <w:tc>
          <w:tcPr>
            <w:tcW w:w="1330" w:type="dxa"/>
            <w:vAlign w:val="top"/>
          </w:tcPr>
          <w:p>
            <w:pPr>
              <w:spacing w:line="420" w:lineRule="exact"/>
              <w:jc w:val="center"/>
              <w:rPr>
                <w:rFonts w:hint="eastAsia"/>
                <w:sz w:val="28"/>
              </w:rPr>
            </w:pPr>
            <w:r>
              <w:rPr>
                <w:rFonts w:hint="eastAsia"/>
                <w:sz w:val="28"/>
              </w:rPr>
              <w:t>3</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⑵维修资金效能管理和实施计划</w:t>
            </w:r>
          </w:p>
        </w:tc>
        <w:tc>
          <w:tcPr>
            <w:tcW w:w="1330" w:type="dxa"/>
            <w:vAlign w:val="top"/>
          </w:tcPr>
          <w:p>
            <w:pPr>
              <w:spacing w:line="420" w:lineRule="exact"/>
              <w:jc w:val="center"/>
              <w:rPr>
                <w:rFonts w:hint="eastAsia"/>
                <w:sz w:val="28"/>
              </w:rPr>
            </w:pPr>
            <w:r>
              <w:rPr>
                <w:rFonts w:hint="eastAsia"/>
                <w:sz w:val="28"/>
              </w:rPr>
              <w:t>3</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⑶已有资源的挖潜增值方案</w:t>
            </w:r>
          </w:p>
        </w:tc>
        <w:tc>
          <w:tcPr>
            <w:tcW w:w="1330" w:type="dxa"/>
            <w:vAlign w:val="top"/>
          </w:tcPr>
          <w:p>
            <w:pPr>
              <w:spacing w:line="420" w:lineRule="exact"/>
              <w:jc w:val="center"/>
              <w:rPr>
                <w:rFonts w:hint="eastAsia"/>
                <w:sz w:val="28"/>
              </w:rPr>
            </w:pPr>
            <w:r>
              <w:rPr>
                <w:rFonts w:hint="eastAsia"/>
                <w:sz w:val="28"/>
              </w:rPr>
              <w:t>3</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⑷参照部颁创优标准所规划的创优目标</w:t>
            </w:r>
          </w:p>
        </w:tc>
        <w:tc>
          <w:tcPr>
            <w:tcW w:w="1330" w:type="dxa"/>
            <w:vAlign w:val="top"/>
          </w:tcPr>
          <w:p>
            <w:pPr>
              <w:spacing w:line="420" w:lineRule="exact"/>
              <w:jc w:val="center"/>
              <w:rPr>
                <w:rFonts w:hint="eastAsia"/>
                <w:sz w:val="28"/>
              </w:rPr>
            </w:pPr>
            <w:r>
              <w:rPr>
                <w:rFonts w:hint="eastAsia"/>
                <w:sz w:val="28"/>
              </w:rPr>
              <w:t>3</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5、项目管理的建议及对策</w:t>
            </w:r>
          </w:p>
        </w:tc>
        <w:tc>
          <w:tcPr>
            <w:tcW w:w="1330" w:type="dxa"/>
            <w:vAlign w:val="top"/>
          </w:tcPr>
          <w:p>
            <w:pPr>
              <w:spacing w:line="420" w:lineRule="exact"/>
              <w:jc w:val="center"/>
              <w:rPr>
                <w:rFonts w:hint="eastAsia"/>
                <w:sz w:val="28"/>
              </w:rPr>
            </w:pPr>
            <w:r>
              <w:rPr>
                <w:rFonts w:hint="eastAsia"/>
                <w:sz w:val="28"/>
              </w:rPr>
              <w:t xml:space="preserve">(10) </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⑴提供项目管理的建设性意见或建议</w:t>
            </w:r>
          </w:p>
        </w:tc>
        <w:tc>
          <w:tcPr>
            <w:tcW w:w="1330" w:type="dxa"/>
            <w:vAlign w:val="top"/>
          </w:tcPr>
          <w:p>
            <w:pPr>
              <w:spacing w:line="420" w:lineRule="exact"/>
              <w:jc w:val="center"/>
              <w:rPr>
                <w:rFonts w:hint="eastAsia"/>
                <w:sz w:val="28"/>
              </w:rPr>
            </w:pPr>
            <w:r>
              <w:rPr>
                <w:rFonts w:hint="eastAsia"/>
                <w:sz w:val="28"/>
              </w:rPr>
              <w:t xml:space="preserve">4 </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rPr>
                <w:rFonts w:hint="eastAsia"/>
                <w:sz w:val="28"/>
              </w:rPr>
            </w:pPr>
            <w:r>
              <w:rPr>
                <w:rFonts w:hint="eastAsia"/>
                <w:sz w:val="28"/>
              </w:rPr>
              <w:t>⑵提供解决项目管理问题的途径和方法</w:t>
            </w:r>
          </w:p>
        </w:tc>
        <w:tc>
          <w:tcPr>
            <w:tcW w:w="1330" w:type="dxa"/>
            <w:vAlign w:val="top"/>
          </w:tcPr>
          <w:p>
            <w:pPr>
              <w:spacing w:line="420" w:lineRule="exact"/>
              <w:jc w:val="center"/>
              <w:rPr>
                <w:rFonts w:hint="eastAsia"/>
                <w:sz w:val="28"/>
              </w:rPr>
            </w:pPr>
            <w:r>
              <w:rPr>
                <w:rFonts w:hint="eastAsia"/>
                <w:sz w:val="28"/>
              </w:rPr>
              <w:t>6</w:t>
            </w:r>
          </w:p>
        </w:tc>
        <w:tc>
          <w:tcPr>
            <w:tcW w:w="1381" w:type="dxa"/>
            <w:vAlign w:val="top"/>
          </w:tcPr>
          <w:p>
            <w:pPr>
              <w:spacing w:line="420" w:lineRule="exact"/>
              <w:rPr>
                <w:rFonts w:hint="eastAsia"/>
                <w:sz w:val="28"/>
              </w:rPr>
            </w:pPr>
          </w:p>
        </w:tc>
      </w:tr>
      <w:tr>
        <w:tblPrEx>
          <w:tblLayout w:type="fixed"/>
        </w:tblPrEx>
        <w:trPr>
          <w:trHeight w:val="227" w:hRule="atLeast"/>
          <w:jc w:val="center"/>
        </w:trPr>
        <w:tc>
          <w:tcPr>
            <w:tcW w:w="6139" w:type="dxa"/>
            <w:vAlign w:val="top"/>
          </w:tcPr>
          <w:p>
            <w:pPr>
              <w:spacing w:line="420" w:lineRule="exact"/>
              <w:jc w:val="center"/>
              <w:rPr>
                <w:rFonts w:hint="eastAsia"/>
                <w:sz w:val="28"/>
              </w:rPr>
            </w:pPr>
            <w:r>
              <w:rPr>
                <w:rFonts w:hint="eastAsia"/>
                <w:sz w:val="28"/>
              </w:rPr>
              <w:t>合      计</w:t>
            </w:r>
          </w:p>
        </w:tc>
        <w:tc>
          <w:tcPr>
            <w:tcW w:w="1330" w:type="dxa"/>
            <w:vAlign w:val="top"/>
          </w:tcPr>
          <w:p>
            <w:pPr>
              <w:spacing w:line="420" w:lineRule="exact"/>
              <w:jc w:val="center"/>
              <w:rPr>
                <w:rFonts w:hint="eastAsia"/>
                <w:sz w:val="28"/>
              </w:rPr>
            </w:pPr>
            <w:r>
              <w:rPr>
                <w:rFonts w:hint="eastAsia"/>
                <w:sz w:val="28"/>
              </w:rPr>
              <w:t>100</w:t>
            </w:r>
          </w:p>
        </w:tc>
        <w:tc>
          <w:tcPr>
            <w:tcW w:w="1381" w:type="dxa"/>
            <w:vAlign w:val="top"/>
          </w:tcPr>
          <w:p>
            <w:pPr>
              <w:spacing w:line="420" w:lineRule="exact"/>
              <w:jc w:val="center"/>
              <w:rPr>
                <w:rFonts w:hint="eastAsia"/>
                <w:sz w:val="28"/>
              </w:rPr>
            </w:pPr>
          </w:p>
        </w:tc>
      </w:tr>
    </w:tbl>
    <w:p>
      <w:pPr>
        <w:spacing w:line="400" w:lineRule="exact"/>
        <w:ind w:left="560" w:hanging="560" w:hangingChars="200"/>
        <w:rPr>
          <w:rFonts w:hint="eastAsia"/>
          <w:sz w:val="28"/>
        </w:rPr>
      </w:pPr>
      <w:r>
        <w:rPr>
          <w:rFonts w:hint="eastAsia"/>
          <w:sz w:val="28"/>
        </w:rPr>
        <w:t>注：最后在“得分”栏填写得分时，可保留1位小数。</w:t>
      </w:r>
    </w:p>
    <w:p>
      <w:pPr>
        <w:wordWrap w:val="0"/>
        <w:spacing w:line="400" w:lineRule="exact"/>
        <w:rPr>
          <w:rFonts w:hint="eastAsia"/>
          <w:sz w:val="28"/>
        </w:rPr>
      </w:pPr>
      <w:r>
        <w:rPr>
          <w:rFonts w:hint="eastAsia"/>
          <w:sz w:val="28"/>
        </w:rPr>
        <w:t xml:space="preserve">评标人签名：                                      </w:t>
      </w:r>
    </w:p>
    <w:p>
      <w:pPr>
        <w:wordWrap w:val="0"/>
        <w:spacing w:line="400" w:lineRule="exact"/>
        <w:jc w:val="right"/>
        <w:rPr>
          <w:rFonts w:hint="eastAsia" w:eastAsia="宋体"/>
          <w:sz w:val="28"/>
          <w:lang w:val="en-US" w:eastAsia="zh-CN"/>
        </w:rPr>
      </w:pPr>
      <w:r>
        <w:rPr>
          <w:rFonts w:hint="eastAsia"/>
          <w:sz w:val="28"/>
        </w:rPr>
        <w:t xml:space="preserve">年   月   </w:t>
      </w:r>
      <w:r>
        <w:rPr>
          <w:rFonts w:hint="eastAsia"/>
          <w:sz w:val="28"/>
          <w:lang w:val="en-US" w:eastAsia="zh-CN"/>
        </w:rPr>
        <w:t>日</w:t>
      </w:r>
    </w:p>
    <w:p>
      <w:pPr>
        <w:rPr>
          <w:rFonts w:hint="eastAsia"/>
          <w:sz w:val="28"/>
        </w:rPr>
      </w:pPr>
    </w:p>
    <w:p>
      <w:pPr>
        <w:rPr>
          <w:rFonts w:hint="eastAsia"/>
          <w:sz w:val="28"/>
        </w:rPr>
      </w:pPr>
    </w:p>
    <w:p>
      <w:pPr>
        <w:rPr>
          <w:rFonts w:hint="eastAsia"/>
          <w:sz w:val="28"/>
        </w:rPr>
      </w:pPr>
      <w:r>
        <w:rPr>
          <w:rFonts w:hint="eastAsia"/>
          <w:sz w:val="28"/>
        </w:rPr>
        <w:t>附表六</w:t>
      </w:r>
    </w:p>
    <w:p>
      <w:pPr>
        <w:jc w:val="center"/>
        <w:rPr>
          <w:rFonts w:hint="eastAsia"/>
          <w:b/>
          <w:bCs/>
          <w:sz w:val="36"/>
        </w:rPr>
      </w:pPr>
      <w:r>
        <w:rPr>
          <w:rFonts w:hint="eastAsia"/>
          <w:b/>
          <w:bCs/>
          <w:sz w:val="36"/>
        </w:rPr>
        <w:t>现场答辩计分表</w:t>
      </w:r>
    </w:p>
    <w:tbl>
      <w:tblPr>
        <w:tblStyle w:val="14"/>
        <w:tblpPr w:leftFromText="180" w:rightFromText="180" w:vertAnchor="text" w:horzAnchor="margin"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1350"/>
        <w:gridCol w:w="2445"/>
      </w:tblGrid>
      <w:tr>
        <w:tblPrEx>
          <w:tblLayout w:type="fixed"/>
        </w:tblPrEx>
        <w:tc>
          <w:tcPr>
            <w:tcW w:w="5116" w:type="dxa"/>
            <w:vAlign w:val="top"/>
          </w:tcPr>
          <w:p>
            <w:pPr>
              <w:jc w:val="center"/>
              <w:rPr>
                <w:rFonts w:hint="eastAsia"/>
                <w:sz w:val="28"/>
              </w:rPr>
            </w:pPr>
            <w:r>
              <w:rPr>
                <w:rFonts w:hint="eastAsia"/>
                <w:sz w:val="28"/>
              </w:rPr>
              <w:t>评   分   内   容</w:t>
            </w:r>
          </w:p>
        </w:tc>
        <w:tc>
          <w:tcPr>
            <w:tcW w:w="1350" w:type="dxa"/>
            <w:vAlign w:val="top"/>
          </w:tcPr>
          <w:p>
            <w:pPr>
              <w:jc w:val="center"/>
              <w:rPr>
                <w:rFonts w:hint="eastAsia"/>
                <w:sz w:val="28"/>
              </w:rPr>
            </w:pPr>
            <w:r>
              <w:rPr>
                <w:rFonts w:hint="eastAsia"/>
                <w:sz w:val="28"/>
              </w:rPr>
              <w:t>标准分</w:t>
            </w:r>
          </w:p>
        </w:tc>
        <w:tc>
          <w:tcPr>
            <w:tcW w:w="2445" w:type="dxa"/>
            <w:vAlign w:val="top"/>
          </w:tcPr>
          <w:p>
            <w:pPr>
              <w:jc w:val="center"/>
              <w:rPr>
                <w:rFonts w:hint="eastAsia"/>
                <w:sz w:val="28"/>
              </w:rPr>
            </w:pPr>
            <w:r>
              <w:rPr>
                <w:rFonts w:hint="eastAsia"/>
                <w:sz w:val="28"/>
              </w:rPr>
              <w:t>得  分</w:t>
            </w:r>
          </w:p>
        </w:tc>
      </w:tr>
      <w:tr>
        <w:tblPrEx>
          <w:tblLayout w:type="fixed"/>
        </w:tblPrEx>
        <w:tc>
          <w:tcPr>
            <w:tcW w:w="5116" w:type="dxa"/>
            <w:vAlign w:val="top"/>
          </w:tcPr>
          <w:p>
            <w:pPr>
              <w:rPr>
                <w:rFonts w:hint="eastAsia"/>
                <w:sz w:val="28"/>
              </w:rPr>
            </w:pPr>
            <w:r>
              <w:rPr>
                <w:rFonts w:hint="eastAsia"/>
                <w:sz w:val="28"/>
              </w:rPr>
              <w:t>1、语意表达、仪表信心</w:t>
            </w:r>
          </w:p>
        </w:tc>
        <w:tc>
          <w:tcPr>
            <w:tcW w:w="1350" w:type="dxa"/>
            <w:vAlign w:val="top"/>
          </w:tcPr>
          <w:p>
            <w:pPr>
              <w:jc w:val="center"/>
              <w:rPr>
                <w:rFonts w:hint="eastAsia"/>
                <w:sz w:val="28"/>
              </w:rPr>
            </w:pPr>
            <w:r>
              <w:rPr>
                <w:rFonts w:hint="eastAsia"/>
                <w:sz w:val="28"/>
              </w:rPr>
              <w:t>20</w:t>
            </w:r>
          </w:p>
        </w:tc>
        <w:tc>
          <w:tcPr>
            <w:tcW w:w="2445" w:type="dxa"/>
            <w:vAlign w:val="top"/>
          </w:tcPr>
          <w:p>
            <w:pPr>
              <w:rPr>
                <w:rFonts w:hint="eastAsia"/>
                <w:sz w:val="28"/>
              </w:rPr>
            </w:pPr>
          </w:p>
        </w:tc>
      </w:tr>
      <w:tr>
        <w:tblPrEx>
          <w:tblLayout w:type="fixed"/>
        </w:tblPrEx>
        <w:tc>
          <w:tcPr>
            <w:tcW w:w="5116" w:type="dxa"/>
            <w:vAlign w:val="top"/>
          </w:tcPr>
          <w:p>
            <w:pPr>
              <w:rPr>
                <w:rFonts w:hint="eastAsia"/>
                <w:sz w:val="28"/>
              </w:rPr>
            </w:pPr>
            <w:r>
              <w:rPr>
                <w:rFonts w:hint="eastAsia"/>
                <w:sz w:val="28"/>
              </w:rPr>
              <w:t>2、物业法律法规、政策熟悉程度</w:t>
            </w:r>
          </w:p>
        </w:tc>
        <w:tc>
          <w:tcPr>
            <w:tcW w:w="1350" w:type="dxa"/>
            <w:vAlign w:val="top"/>
          </w:tcPr>
          <w:p>
            <w:pPr>
              <w:jc w:val="center"/>
              <w:rPr>
                <w:rFonts w:hint="eastAsia"/>
                <w:sz w:val="28"/>
              </w:rPr>
            </w:pPr>
            <w:r>
              <w:rPr>
                <w:rFonts w:hint="eastAsia"/>
                <w:sz w:val="28"/>
              </w:rPr>
              <w:t>30</w:t>
            </w:r>
          </w:p>
        </w:tc>
        <w:tc>
          <w:tcPr>
            <w:tcW w:w="2445" w:type="dxa"/>
            <w:vAlign w:val="top"/>
          </w:tcPr>
          <w:p>
            <w:pPr>
              <w:rPr>
                <w:rFonts w:hint="eastAsia"/>
                <w:sz w:val="28"/>
              </w:rPr>
            </w:pPr>
          </w:p>
        </w:tc>
      </w:tr>
      <w:tr>
        <w:tblPrEx>
          <w:tblLayout w:type="fixed"/>
        </w:tblPrEx>
        <w:trPr>
          <w:trHeight w:val="899" w:hRule="atLeast"/>
        </w:trPr>
        <w:tc>
          <w:tcPr>
            <w:tcW w:w="5116" w:type="dxa"/>
            <w:vAlign w:val="top"/>
          </w:tcPr>
          <w:p>
            <w:pPr>
              <w:spacing w:line="400" w:lineRule="exact"/>
              <w:rPr>
                <w:rFonts w:hint="eastAsia"/>
                <w:sz w:val="28"/>
              </w:rPr>
            </w:pPr>
            <w:r>
              <w:rPr>
                <w:rFonts w:hint="eastAsia"/>
                <w:sz w:val="28"/>
              </w:rPr>
              <w:t>3、个人业务水平及对评委现场提问的答复处理应对能力。</w:t>
            </w:r>
          </w:p>
        </w:tc>
        <w:tc>
          <w:tcPr>
            <w:tcW w:w="1350" w:type="dxa"/>
            <w:vAlign w:val="center"/>
          </w:tcPr>
          <w:p>
            <w:pPr>
              <w:jc w:val="center"/>
              <w:rPr>
                <w:rFonts w:hint="eastAsia"/>
                <w:sz w:val="28"/>
              </w:rPr>
            </w:pPr>
            <w:r>
              <w:rPr>
                <w:rFonts w:hint="eastAsia"/>
                <w:sz w:val="28"/>
              </w:rPr>
              <w:t>50</w:t>
            </w:r>
          </w:p>
        </w:tc>
        <w:tc>
          <w:tcPr>
            <w:tcW w:w="2445" w:type="dxa"/>
            <w:vAlign w:val="top"/>
          </w:tcPr>
          <w:p>
            <w:pPr>
              <w:rPr>
                <w:rFonts w:hint="eastAsia"/>
                <w:sz w:val="28"/>
              </w:rPr>
            </w:pPr>
          </w:p>
        </w:tc>
      </w:tr>
      <w:tr>
        <w:tblPrEx>
          <w:tblLayout w:type="fixed"/>
        </w:tblPrEx>
        <w:tc>
          <w:tcPr>
            <w:tcW w:w="5116" w:type="dxa"/>
            <w:vAlign w:val="top"/>
          </w:tcPr>
          <w:p>
            <w:pPr>
              <w:jc w:val="center"/>
              <w:rPr>
                <w:rFonts w:hint="eastAsia"/>
                <w:sz w:val="28"/>
              </w:rPr>
            </w:pPr>
            <w:r>
              <w:rPr>
                <w:rFonts w:hint="eastAsia"/>
                <w:sz w:val="28"/>
              </w:rPr>
              <w:t>合      计</w:t>
            </w:r>
          </w:p>
        </w:tc>
        <w:tc>
          <w:tcPr>
            <w:tcW w:w="1350" w:type="dxa"/>
            <w:vAlign w:val="top"/>
          </w:tcPr>
          <w:p>
            <w:pPr>
              <w:jc w:val="center"/>
              <w:rPr>
                <w:rFonts w:hint="eastAsia"/>
                <w:sz w:val="28"/>
              </w:rPr>
            </w:pPr>
            <w:r>
              <w:rPr>
                <w:rFonts w:hint="eastAsia"/>
                <w:sz w:val="28"/>
              </w:rPr>
              <w:t>100</w:t>
            </w:r>
          </w:p>
        </w:tc>
        <w:tc>
          <w:tcPr>
            <w:tcW w:w="2445" w:type="dxa"/>
            <w:vAlign w:val="top"/>
          </w:tcPr>
          <w:p>
            <w:pPr>
              <w:rPr>
                <w:rFonts w:hint="eastAsia"/>
                <w:sz w:val="28"/>
              </w:rPr>
            </w:pPr>
          </w:p>
        </w:tc>
      </w:tr>
    </w:tbl>
    <w:p>
      <w:pPr>
        <w:rPr>
          <w:rFonts w:hint="eastAsia"/>
          <w:sz w:val="28"/>
        </w:rPr>
      </w:pPr>
    </w:p>
    <w:p>
      <w:pPr>
        <w:rPr>
          <w:rFonts w:hint="eastAsia"/>
          <w:sz w:val="28"/>
        </w:rPr>
      </w:pPr>
      <w:r>
        <w:rPr>
          <w:rFonts w:hint="eastAsia"/>
          <w:sz w:val="28"/>
        </w:rPr>
        <w:t>注：评分标准一般按“好、较好、一般、较差、差”五档进行；最后在“得分”栏填写得分时，可保留1位小数。</w:t>
      </w:r>
    </w:p>
    <w:p>
      <w:pPr>
        <w:rPr>
          <w:rFonts w:hint="eastAsia"/>
          <w:sz w:val="28"/>
        </w:rPr>
      </w:pPr>
      <w:r>
        <w:rPr>
          <w:rFonts w:hint="eastAsia"/>
          <w:sz w:val="28"/>
        </w:rPr>
        <w:t>评标人签名：</w:t>
      </w:r>
    </w:p>
    <w:p>
      <w:pPr>
        <w:rPr>
          <w:rFonts w:hint="eastAsia"/>
          <w:sz w:val="28"/>
        </w:rPr>
      </w:pPr>
      <w:r>
        <w:rPr>
          <w:rFonts w:hint="eastAsia"/>
          <w:sz w:val="28"/>
        </w:rPr>
        <w:t xml:space="preserve"> </w:t>
      </w:r>
    </w:p>
    <w:p>
      <w:pPr>
        <w:ind w:firstLine="570"/>
        <w:jc w:val="right"/>
        <w:rPr>
          <w:rFonts w:hint="eastAsia"/>
          <w:sz w:val="28"/>
        </w:rPr>
      </w:pPr>
      <w:r>
        <w:rPr>
          <w:rFonts w:hint="eastAsia"/>
          <w:sz w:val="28"/>
        </w:rPr>
        <w:t xml:space="preserve">  </w:t>
      </w:r>
    </w:p>
    <w:p>
      <w:pPr>
        <w:ind w:firstLine="570"/>
        <w:jc w:val="right"/>
        <w:rPr>
          <w:rFonts w:hint="eastAsia"/>
          <w:sz w:val="28"/>
        </w:rPr>
      </w:pPr>
    </w:p>
    <w:p>
      <w:pPr>
        <w:ind w:firstLine="570"/>
        <w:jc w:val="right"/>
        <w:rPr>
          <w:rFonts w:hint="eastAsia" w:eastAsia="黑体"/>
          <w:b w:val="0"/>
          <w:bCs/>
          <w:sz w:val="36"/>
        </w:rPr>
      </w:pPr>
      <w:r>
        <w:rPr>
          <w:rFonts w:hint="eastAsia"/>
          <w:sz w:val="28"/>
        </w:rPr>
        <w:t xml:space="preserve">  年   月   日</w:t>
      </w: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szCs w:val="28"/>
        </w:rPr>
      </w:pPr>
    </w:p>
    <w:p>
      <w:pPr>
        <w:tabs>
          <w:tab w:val="left" w:leader="middleDot" w:pos="8400"/>
        </w:tabs>
        <w:rPr>
          <w:rFonts w:hint="eastAsia" w:ascii="宋体" w:hAnsi="宋体"/>
          <w:sz w:val="28"/>
        </w:rPr>
      </w:pPr>
      <w:r>
        <w:rPr>
          <w:rFonts w:hint="eastAsia" w:ascii="宋体" w:hAnsi="宋体"/>
          <w:sz w:val="28"/>
          <w:szCs w:val="28"/>
        </w:rPr>
        <w:t>附件七</w:t>
      </w:r>
    </w:p>
    <w:p>
      <w:pPr>
        <w:tabs>
          <w:tab w:val="left" w:leader="middleDot" w:pos="8400"/>
        </w:tabs>
        <w:ind w:firstLine="435"/>
        <w:rPr>
          <w:rFonts w:hint="eastAsia" w:ascii="宋体" w:hAnsi="宋体"/>
          <w:sz w:val="48"/>
        </w:rPr>
      </w:pPr>
      <w:r>
        <w:rPr>
          <w:rFonts w:hint="eastAsia" w:ascii="宋体" w:hAnsi="宋体"/>
          <w:sz w:val="48"/>
        </w:rPr>
        <w:t xml:space="preserve">           授权委托书</w:t>
      </w:r>
      <w:r>
        <w:rPr>
          <w:rFonts w:hint="eastAsia" w:ascii="宋体" w:hAnsi="宋体"/>
          <w:sz w:val="30"/>
        </w:rPr>
        <w:t>（开标时携带）</w:t>
      </w:r>
    </w:p>
    <w:p>
      <w:pPr>
        <w:tabs>
          <w:tab w:val="left" w:leader="middleDot" w:pos="8400"/>
        </w:tabs>
        <w:ind w:firstLine="435"/>
        <w:jc w:val="center"/>
        <w:rPr>
          <w:rFonts w:hint="eastAsia" w:ascii="宋体" w:hAnsi="宋体"/>
        </w:rPr>
      </w:pPr>
    </w:p>
    <w:p>
      <w:pPr>
        <w:spacing w:line="360" w:lineRule="auto"/>
        <w:ind w:firstLine="480" w:firstLineChars="200"/>
        <w:rPr>
          <w:rFonts w:hint="eastAsia"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（姓名）在</w:t>
      </w:r>
      <w:r>
        <w:rPr>
          <w:rFonts w:hint="eastAsia" w:ascii="宋体" w:hAnsi="宋体"/>
          <w:sz w:val="24"/>
          <w:lang w:eastAsia="zh-CN"/>
        </w:rPr>
        <w:t>2024</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至</w:t>
      </w:r>
      <w:r>
        <w:rPr>
          <w:rFonts w:hint="eastAsia" w:ascii="宋体" w:hAnsi="宋体"/>
          <w:sz w:val="24"/>
          <w:lang w:eastAsia="zh-CN"/>
        </w:rPr>
        <w:t>2024</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日（代理时限）为我公司的代理人，以本公司的名义参加</w:t>
      </w:r>
      <w:r>
        <w:rPr>
          <w:rFonts w:hint="eastAsia" w:ascii="宋体" w:hAnsi="宋体"/>
          <w:sz w:val="24"/>
          <w:u w:val="single"/>
        </w:rPr>
        <w:t xml:space="preserve">                                </w:t>
      </w:r>
      <w:r>
        <w:rPr>
          <w:rFonts w:hint="eastAsia" w:ascii="宋体" w:hAnsi="宋体"/>
          <w:sz w:val="24"/>
        </w:rPr>
        <w:t>的投标活动。代理人在代理时间内参加投标、开标、询标、合同谈判过程中所签署的一切文件和处理与之相关的一切事务，本人均予以承认。</w:t>
      </w:r>
    </w:p>
    <w:p>
      <w:pPr>
        <w:tabs>
          <w:tab w:val="left" w:leader="middleDot" w:pos="8400"/>
        </w:tabs>
        <w:spacing w:line="360" w:lineRule="auto"/>
        <w:ind w:firstLine="570"/>
        <w:rPr>
          <w:rFonts w:hint="eastAsia" w:ascii="宋体" w:hAnsi="宋体"/>
          <w:sz w:val="24"/>
        </w:rPr>
      </w:pPr>
      <w:r>
        <w:rPr>
          <w:rFonts w:hint="eastAsia" w:ascii="宋体" w:hAnsi="宋体"/>
          <w:sz w:val="24"/>
        </w:rPr>
        <w:t>代理人无权转委托。</w:t>
      </w:r>
    </w:p>
    <w:p>
      <w:pPr>
        <w:tabs>
          <w:tab w:val="left" w:leader="middleDot" w:pos="8400"/>
        </w:tabs>
        <w:spacing w:line="360" w:lineRule="auto"/>
        <w:ind w:firstLine="570"/>
        <w:rPr>
          <w:rFonts w:hint="eastAsia" w:ascii="宋体" w:hAnsi="宋体"/>
          <w:sz w:val="24"/>
        </w:rPr>
      </w:pPr>
      <w:r>
        <w:rPr>
          <w:rFonts w:hint="eastAsia" w:ascii="宋体" w:hAnsi="宋体"/>
          <w:sz w:val="24"/>
        </w:rPr>
        <w:t>特此委托。</w:t>
      </w:r>
    </w:p>
    <w:p>
      <w:pPr>
        <w:tabs>
          <w:tab w:val="left" w:leader="middleDot" w:pos="8400"/>
        </w:tabs>
        <w:spacing w:line="360" w:lineRule="auto"/>
        <w:ind w:firstLine="570"/>
        <w:rPr>
          <w:rFonts w:hint="eastAsia" w:ascii="宋体" w:hAnsi="宋体"/>
          <w:sz w:val="24"/>
        </w:rPr>
      </w:pPr>
      <w:r>
        <w:rPr>
          <w:rFonts w:hint="eastAsia" w:ascii="宋体" w:hAnsi="宋体"/>
          <w:sz w:val="24"/>
        </w:rPr>
        <w:t>附：</w:t>
      </w:r>
    </w:p>
    <w:tbl>
      <w:tblPr>
        <w:tblStyle w:val="14"/>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202"/>
        <w:gridCol w:w="2226"/>
        <w:gridCol w:w="3175"/>
      </w:tblGrid>
      <w:tr>
        <w:tblPrEx>
          <w:tblLayout w:type="fixed"/>
        </w:tblPrEx>
        <w:trPr>
          <w:cantSplit/>
          <w:trHeight w:val="442" w:hRule="exact"/>
          <w:jc w:val="center"/>
        </w:trPr>
        <w:tc>
          <w:tcPr>
            <w:tcW w:w="2117"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代理人姓名</w:t>
            </w:r>
          </w:p>
        </w:tc>
        <w:tc>
          <w:tcPr>
            <w:tcW w:w="2202"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c>
          <w:tcPr>
            <w:tcW w:w="2226"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性     别</w:t>
            </w:r>
          </w:p>
        </w:tc>
        <w:tc>
          <w:tcPr>
            <w:tcW w:w="317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r>
      <w:tr>
        <w:tblPrEx>
          <w:tblLayout w:type="fixed"/>
        </w:tblPrEx>
        <w:trPr>
          <w:cantSplit/>
          <w:trHeight w:val="442" w:hRule="exact"/>
          <w:jc w:val="center"/>
        </w:trPr>
        <w:tc>
          <w:tcPr>
            <w:tcW w:w="2117"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出 生 年 月</w:t>
            </w:r>
          </w:p>
        </w:tc>
        <w:tc>
          <w:tcPr>
            <w:tcW w:w="2202"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c>
          <w:tcPr>
            <w:tcW w:w="2226"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身份证号码</w:t>
            </w:r>
          </w:p>
        </w:tc>
        <w:tc>
          <w:tcPr>
            <w:tcW w:w="317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r>
      <w:tr>
        <w:tblPrEx>
          <w:tblLayout w:type="fixed"/>
        </w:tblPrEx>
        <w:trPr>
          <w:cantSplit/>
          <w:trHeight w:val="442" w:hRule="exact"/>
          <w:jc w:val="center"/>
        </w:trPr>
        <w:tc>
          <w:tcPr>
            <w:tcW w:w="2117"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单       位</w:t>
            </w:r>
          </w:p>
        </w:tc>
        <w:tc>
          <w:tcPr>
            <w:tcW w:w="2202"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c>
          <w:tcPr>
            <w:tcW w:w="2226"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部      门</w:t>
            </w:r>
          </w:p>
        </w:tc>
        <w:tc>
          <w:tcPr>
            <w:tcW w:w="317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r>
      <w:tr>
        <w:tblPrEx>
          <w:tblLayout w:type="fixed"/>
        </w:tblPrEx>
        <w:trPr>
          <w:cantSplit/>
          <w:trHeight w:val="442" w:hRule="exact"/>
          <w:jc w:val="center"/>
        </w:trPr>
        <w:tc>
          <w:tcPr>
            <w:tcW w:w="2117"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职       务</w:t>
            </w:r>
          </w:p>
        </w:tc>
        <w:tc>
          <w:tcPr>
            <w:tcW w:w="2202"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c>
          <w:tcPr>
            <w:tcW w:w="2226"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r>
              <w:rPr>
                <w:rFonts w:hint="eastAsia" w:ascii="宋体" w:hAnsi="宋体"/>
                <w:sz w:val="24"/>
              </w:rPr>
              <w:t>联系电话</w:t>
            </w:r>
          </w:p>
        </w:tc>
        <w:tc>
          <w:tcPr>
            <w:tcW w:w="3175" w:type="dxa"/>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tc>
      </w:tr>
      <w:tr>
        <w:tblPrEx>
          <w:tblLayout w:type="fixed"/>
        </w:tblPrEx>
        <w:trPr>
          <w:cantSplit/>
          <w:trHeight w:val="2519"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pPr>
              <w:tabs>
                <w:tab w:val="left" w:leader="middleDot" w:pos="8400"/>
              </w:tabs>
              <w:spacing w:line="400" w:lineRule="exact"/>
              <w:jc w:val="center"/>
              <w:rPr>
                <w:rFonts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hint="eastAsia" w:ascii="宋体" w:hAnsi="宋体"/>
                <w:sz w:val="24"/>
              </w:rPr>
            </w:pPr>
            <w:r>
              <w:rPr>
                <w:rFonts w:hint="eastAsia" w:ascii="宋体" w:hAnsi="宋体"/>
                <w:sz w:val="24"/>
              </w:rPr>
              <w:t>身 份 证 复 印 件 粘 贴 处</w:t>
            </w:r>
          </w:p>
          <w:p>
            <w:pPr>
              <w:tabs>
                <w:tab w:val="left" w:leader="middleDot" w:pos="8400"/>
              </w:tabs>
              <w:spacing w:line="400" w:lineRule="exact"/>
              <w:rPr>
                <w:rFonts w:hint="eastAsia"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hint="eastAsia" w:ascii="宋体" w:hAnsi="宋体"/>
                <w:sz w:val="24"/>
              </w:rPr>
            </w:pPr>
          </w:p>
          <w:p>
            <w:pPr>
              <w:tabs>
                <w:tab w:val="left" w:leader="middleDot" w:pos="8400"/>
              </w:tabs>
              <w:spacing w:line="400" w:lineRule="exact"/>
              <w:jc w:val="center"/>
              <w:rPr>
                <w:rFonts w:ascii="宋体" w:hAnsi="宋体"/>
                <w:sz w:val="24"/>
              </w:rPr>
            </w:pPr>
          </w:p>
        </w:tc>
      </w:tr>
    </w:tbl>
    <w:p>
      <w:pPr>
        <w:tabs>
          <w:tab w:val="left" w:leader="middleDot" w:pos="8400"/>
        </w:tabs>
        <w:spacing w:line="720" w:lineRule="auto"/>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pPr>
        <w:tabs>
          <w:tab w:val="left" w:leader="middleDot" w:pos="8400"/>
        </w:tabs>
        <w:spacing w:line="720" w:lineRule="auto"/>
        <w:rPr>
          <w:rFonts w:hint="eastAsia" w:ascii="宋体" w:hAnsi="宋体"/>
          <w:sz w:val="24"/>
          <w:u w:val="single"/>
        </w:rPr>
      </w:pPr>
      <w:r>
        <w:rPr>
          <w:rFonts w:hint="eastAsia" w:ascii="宋体" w:hAnsi="宋体"/>
          <w:sz w:val="24"/>
        </w:rPr>
        <w:t xml:space="preserve">法定代表人：（签字或盖章）： </w:t>
      </w:r>
      <w:r>
        <w:rPr>
          <w:rFonts w:hint="eastAsia" w:ascii="宋体" w:hAnsi="宋体"/>
          <w:sz w:val="24"/>
          <w:u w:val="single"/>
        </w:rPr>
        <w:t xml:space="preserve">              </w:t>
      </w:r>
    </w:p>
    <w:p>
      <w:pPr>
        <w:tabs>
          <w:tab w:val="left" w:leader="middleDot" w:pos="8400"/>
        </w:tabs>
        <w:ind w:firstLine="435"/>
        <w:jc w:val="center"/>
        <w:rPr>
          <w:rFonts w:hint="eastAsia" w:ascii="宋体" w:hAnsi="宋体"/>
          <w:sz w:val="24"/>
        </w:rPr>
      </w:pPr>
      <w:r>
        <w:rPr>
          <w:rFonts w:hint="eastAsia" w:ascii="宋体" w:hAnsi="宋体"/>
          <w:sz w:val="24"/>
        </w:rPr>
        <w:t xml:space="preserve">                                           年    月    日</w:t>
      </w:r>
    </w:p>
    <w:p>
      <w:pPr>
        <w:tabs>
          <w:tab w:val="left" w:leader="middleDot" w:pos="8400"/>
        </w:tabs>
        <w:ind w:firstLine="435"/>
        <w:jc w:val="center"/>
        <w:rPr>
          <w:rFonts w:hint="eastAsia" w:ascii="宋体" w:hAnsi="宋体"/>
          <w:sz w:val="24"/>
        </w:rPr>
      </w:pPr>
    </w:p>
    <w:p>
      <w:pPr>
        <w:rPr>
          <w:rFonts w:hint="eastAsia" w:eastAsia="宋体"/>
          <w:sz w:val="28"/>
          <w:lang w:val="en-US" w:eastAsia="zh-CN"/>
        </w:rPr>
      </w:pPr>
    </w:p>
    <w:p>
      <w:pPr>
        <w:rPr>
          <w:rFonts w:hint="eastAsia" w:eastAsia="宋体"/>
          <w:sz w:val="28"/>
          <w:lang w:val="en-US" w:eastAsia="zh-CN"/>
        </w:rPr>
      </w:pPr>
      <w:r>
        <w:rPr>
          <w:rFonts w:hint="eastAsia" w:eastAsia="宋体"/>
          <w:sz w:val="28"/>
          <w:lang w:val="en-US" w:eastAsia="zh-CN"/>
        </w:rPr>
        <w:t>附件八：</w:t>
      </w:r>
    </w:p>
    <w:p>
      <w:pPr>
        <w:pStyle w:val="2"/>
        <w:jc w:val="center"/>
        <w:rPr>
          <w:rFonts w:hint="default"/>
          <w:lang w:val="en-US" w:eastAsia="zh-CN"/>
        </w:rPr>
      </w:pPr>
      <w:r>
        <w:rPr>
          <w:rFonts w:hint="eastAsia"/>
          <w:sz w:val="36"/>
          <w:szCs w:val="36"/>
          <w:u w:val="single"/>
          <w:lang w:val="en-US" w:eastAsia="zh-CN"/>
        </w:rPr>
        <w:t>XXXXX物业管理有限公司</w:t>
      </w:r>
      <w:r>
        <w:rPr>
          <w:rFonts w:hint="eastAsia"/>
          <w:sz w:val="36"/>
          <w:szCs w:val="36"/>
          <w:u w:val="none"/>
          <w:lang w:val="en-US" w:eastAsia="zh-CN"/>
        </w:rPr>
        <w:t>管理项目业绩证明</w:t>
      </w:r>
    </w:p>
    <w:p>
      <w:pPr>
        <w:pStyle w:val="11"/>
        <w:jc w:val="both"/>
        <w:rPr>
          <w:rFonts w:hint="eastAsia"/>
        </w:rPr>
      </w:pPr>
    </w:p>
    <w:p>
      <w:pPr>
        <w:rPr>
          <w:rFonts w:hint="eastAsia"/>
        </w:rPr>
      </w:pPr>
    </w:p>
    <w:tbl>
      <w:tblPr>
        <w:tblStyle w:val="14"/>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770"/>
        <w:gridCol w:w="2115"/>
        <w:gridCol w:w="1680"/>
        <w:gridCol w:w="1710"/>
      </w:tblGrid>
      <w:tr>
        <w:tblPrEx>
          <w:tblLayout w:type="fixed"/>
        </w:tblPrEx>
        <w:trPr>
          <w:cantSplit/>
          <w:trHeight w:val="1230" w:hRule="atLeast"/>
        </w:trPr>
        <w:tc>
          <w:tcPr>
            <w:tcW w:w="2040" w:type="dxa"/>
            <w:vAlign w:val="center"/>
          </w:tcPr>
          <w:p>
            <w:pPr>
              <w:autoSpaceDE w:val="0"/>
              <w:autoSpaceDN w:val="0"/>
              <w:adjustRightInd w:val="0"/>
              <w:spacing w:line="400" w:lineRule="atLeast"/>
              <w:jc w:val="center"/>
              <w:rPr>
                <w:rFonts w:hint="eastAsia" w:ascii="Times New Roman" w:hAnsi="Times New Roman" w:eastAsia="宋体" w:cs="Times New Roman"/>
                <w:b/>
                <w:bCs w:val="0"/>
                <w:kern w:val="2"/>
                <w:sz w:val="28"/>
                <w:szCs w:val="28"/>
                <w:lang w:val="zh-CN" w:eastAsia="zh-CN" w:bidi="ar-SA"/>
              </w:rPr>
            </w:pPr>
            <w:r>
              <w:rPr>
                <w:rFonts w:hint="eastAsia"/>
                <w:b/>
                <w:bCs w:val="0"/>
                <w:sz w:val="28"/>
                <w:szCs w:val="28"/>
                <w:lang w:val="zh-CN"/>
              </w:rPr>
              <w:t>物业</w:t>
            </w:r>
            <w:r>
              <w:rPr>
                <w:rFonts w:hint="eastAsia"/>
                <w:b/>
                <w:bCs w:val="0"/>
                <w:sz w:val="28"/>
                <w:szCs w:val="28"/>
                <w:lang w:val="en-US" w:eastAsia="zh-CN"/>
              </w:rPr>
              <w:t>项目</w:t>
            </w:r>
            <w:r>
              <w:rPr>
                <w:rFonts w:hint="eastAsia"/>
                <w:b/>
                <w:bCs w:val="0"/>
                <w:sz w:val="28"/>
                <w:szCs w:val="28"/>
                <w:lang w:val="zh-CN"/>
              </w:rPr>
              <w:t>名称</w:t>
            </w:r>
          </w:p>
        </w:tc>
        <w:tc>
          <w:tcPr>
            <w:tcW w:w="1770" w:type="dxa"/>
            <w:vAlign w:val="center"/>
          </w:tcPr>
          <w:p>
            <w:pPr>
              <w:autoSpaceDE w:val="0"/>
              <w:autoSpaceDN w:val="0"/>
              <w:adjustRightInd w:val="0"/>
              <w:spacing w:line="400" w:lineRule="atLeast"/>
              <w:jc w:val="center"/>
              <w:rPr>
                <w:rFonts w:hint="eastAsia" w:ascii="Times New Roman" w:hAnsi="Times New Roman" w:eastAsia="宋体" w:cs="Times New Roman"/>
                <w:b/>
                <w:bCs w:val="0"/>
                <w:kern w:val="2"/>
                <w:sz w:val="28"/>
                <w:szCs w:val="28"/>
                <w:lang w:val="zh-CN" w:eastAsia="zh-CN" w:bidi="ar-SA"/>
              </w:rPr>
            </w:pPr>
            <w:r>
              <w:rPr>
                <w:rFonts w:hint="eastAsia"/>
                <w:b/>
                <w:bCs w:val="0"/>
                <w:sz w:val="28"/>
                <w:szCs w:val="28"/>
                <w:lang w:val="zh-CN"/>
              </w:rPr>
              <w:t>物管总面积</w:t>
            </w:r>
          </w:p>
        </w:tc>
        <w:tc>
          <w:tcPr>
            <w:tcW w:w="2115" w:type="dxa"/>
            <w:vAlign w:val="center"/>
          </w:tcPr>
          <w:p>
            <w:pPr>
              <w:autoSpaceDE w:val="0"/>
              <w:autoSpaceDN w:val="0"/>
              <w:adjustRightInd w:val="0"/>
              <w:spacing w:line="400" w:lineRule="atLeast"/>
              <w:jc w:val="center"/>
              <w:rPr>
                <w:rFonts w:hint="eastAsia" w:ascii="Times New Roman" w:hAnsi="Times New Roman" w:eastAsia="宋体" w:cs="Times New Roman"/>
                <w:b/>
                <w:bCs w:val="0"/>
                <w:kern w:val="2"/>
                <w:sz w:val="28"/>
                <w:szCs w:val="28"/>
                <w:lang w:val="zh-CN" w:eastAsia="zh-CN" w:bidi="ar-SA"/>
              </w:rPr>
            </w:pPr>
            <w:r>
              <w:rPr>
                <w:rFonts w:hint="eastAsia"/>
                <w:b/>
                <w:bCs w:val="0"/>
                <w:sz w:val="28"/>
                <w:szCs w:val="28"/>
                <w:lang w:val="zh-CN"/>
              </w:rPr>
              <w:t>合同起止时间</w:t>
            </w:r>
          </w:p>
        </w:tc>
        <w:tc>
          <w:tcPr>
            <w:tcW w:w="1680" w:type="dxa"/>
            <w:vAlign w:val="center"/>
          </w:tcPr>
          <w:p>
            <w:pPr>
              <w:autoSpaceDE w:val="0"/>
              <w:autoSpaceDN w:val="0"/>
              <w:adjustRightInd w:val="0"/>
              <w:spacing w:line="400" w:lineRule="atLeast"/>
              <w:jc w:val="center"/>
              <w:rPr>
                <w:rFonts w:hint="default" w:eastAsia="宋体"/>
                <w:b/>
                <w:bCs w:val="0"/>
                <w:sz w:val="28"/>
                <w:szCs w:val="28"/>
                <w:lang w:val="en-US" w:eastAsia="zh-CN"/>
              </w:rPr>
            </w:pPr>
            <w:r>
              <w:rPr>
                <w:rFonts w:hint="eastAsia"/>
                <w:b/>
                <w:bCs w:val="0"/>
                <w:sz w:val="28"/>
                <w:szCs w:val="28"/>
                <w:lang w:val="en-US" w:eastAsia="zh-CN"/>
              </w:rPr>
              <w:t>主管部门是否已备案</w:t>
            </w:r>
          </w:p>
        </w:tc>
        <w:tc>
          <w:tcPr>
            <w:tcW w:w="1710" w:type="dxa"/>
            <w:vAlign w:val="center"/>
          </w:tcPr>
          <w:p>
            <w:pPr>
              <w:autoSpaceDE w:val="0"/>
              <w:autoSpaceDN w:val="0"/>
              <w:adjustRightInd w:val="0"/>
              <w:spacing w:line="400" w:lineRule="atLeast"/>
              <w:jc w:val="center"/>
              <w:rPr>
                <w:rFonts w:hint="default"/>
                <w:b/>
                <w:bCs w:val="0"/>
                <w:sz w:val="28"/>
                <w:szCs w:val="28"/>
                <w:lang w:val="en-US" w:eastAsia="zh-CN"/>
              </w:rPr>
            </w:pPr>
            <w:r>
              <w:rPr>
                <w:rFonts w:hint="eastAsia"/>
                <w:b/>
                <w:bCs w:val="0"/>
                <w:sz w:val="28"/>
                <w:szCs w:val="28"/>
                <w:lang w:val="en-US" w:eastAsia="zh-CN"/>
              </w:rPr>
              <w:t>备注</w:t>
            </w:r>
          </w:p>
        </w:tc>
      </w:tr>
      <w:tr>
        <w:tblPrEx>
          <w:tblLayout w:type="fixed"/>
        </w:tblPrEx>
        <w:trPr>
          <w:cantSplit/>
          <w:trHeight w:val="667" w:hRule="atLeast"/>
        </w:trPr>
        <w:tc>
          <w:tcPr>
            <w:tcW w:w="2040" w:type="dxa"/>
            <w:vAlign w:val="center"/>
          </w:tcPr>
          <w:p>
            <w:pPr>
              <w:autoSpaceDE w:val="0"/>
              <w:autoSpaceDN w:val="0"/>
              <w:adjustRightInd w:val="0"/>
              <w:spacing w:line="400" w:lineRule="atLeast"/>
              <w:ind w:right="147" w:rightChars="70"/>
              <w:jc w:val="center"/>
              <w:rPr>
                <w:rFonts w:hint="default" w:eastAsia="宋体"/>
                <w:sz w:val="24"/>
                <w:lang w:val="en-US" w:eastAsia="zh-CN"/>
              </w:rPr>
            </w:pPr>
          </w:p>
        </w:tc>
        <w:tc>
          <w:tcPr>
            <w:tcW w:w="1770" w:type="dxa"/>
            <w:vAlign w:val="center"/>
          </w:tcPr>
          <w:p>
            <w:pPr>
              <w:spacing w:line="320" w:lineRule="exact"/>
              <w:jc w:val="center"/>
              <w:rPr>
                <w:rFonts w:hint="default" w:eastAsia="宋体"/>
                <w:sz w:val="24"/>
                <w:lang w:val="en-US" w:eastAsia="zh-CN"/>
              </w:rPr>
            </w:pPr>
          </w:p>
        </w:tc>
        <w:tc>
          <w:tcPr>
            <w:tcW w:w="2115" w:type="dxa"/>
            <w:vAlign w:val="center"/>
          </w:tcPr>
          <w:p>
            <w:pPr>
              <w:autoSpaceDE w:val="0"/>
              <w:autoSpaceDN w:val="0"/>
              <w:adjustRightInd w:val="0"/>
              <w:spacing w:line="400" w:lineRule="atLeast"/>
              <w:jc w:val="center"/>
              <w:rPr>
                <w:rFonts w:hint="default" w:eastAsia="宋体"/>
                <w:sz w:val="24"/>
                <w:lang w:val="en-US" w:eastAsia="zh-CN"/>
              </w:rPr>
            </w:pPr>
          </w:p>
        </w:tc>
        <w:tc>
          <w:tcPr>
            <w:tcW w:w="1680" w:type="dxa"/>
            <w:vAlign w:val="center"/>
          </w:tcPr>
          <w:p>
            <w:pPr>
              <w:autoSpaceDE w:val="0"/>
              <w:autoSpaceDN w:val="0"/>
              <w:adjustRightInd w:val="0"/>
              <w:spacing w:line="400" w:lineRule="atLeast"/>
              <w:jc w:val="center"/>
              <w:rPr>
                <w:rFonts w:hint="default" w:eastAsia="宋体"/>
                <w:sz w:val="24"/>
                <w:lang w:val="en-US" w:eastAsia="zh-CN"/>
              </w:rPr>
            </w:pPr>
            <w:r>
              <w:rPr>
                <w:rFonts w:hint="eastAsia"/>
                <w:sz w:val="24"/>
                <w:lang w:val="en-US" w:eastAsia="zh-CN"/>
              </w:rPr>
              <w:t>已备案（备案表附后）</w:t>
            </w:r>
          </w:p>
        </w:tc>
        <w:tc>
          <w:tcPr>
            <w:tcW w:w="1710" w:type="dxa"/>
            <w:vAlign w:val="center"/>
          </w:tcPr>
          <w:p>
            <w:pPr>
              <w:autoSpaceDE w:val="0"/>
              <w:autoSpaceDN w:val="0"/>
              <w:adjustRightInd w:val="0"/>
              <w:spacing w:line="400" w:lineRule="atLeast"/>
              <w:jc w:val="both"/>
              <w:rPr>
                <w:rFonts w:hint="default" w:eastAsia="宋体"/>
                <w:sz w:val="24"/>
                <w:lang w:val="en-US" w:eastAsia="zh-CN"/>
              </w:rPr>
            </w:pPr>
            <w:r>
              <w:rPr>
                <w:rFonts w:hint="eastAsia"/>
                <w:sz w:val="24"/>
                <w:lang w:val="en-US" w:eastAsia="zh-CN"/>
              </w:rPr>
              <w:t>目前在管项目</w:t>
            </w:r>
          </w:p>
        </w:tc>
      </w:tr>
      <w:tr>
        <w:tblPrEx>
          <w:tblLayout w:type="fixed"/>
        </w:tblPrEx>
        <w:trPr>
          <w:cantSplit/>
          <w:trHeight w:val="662" w:hRule="atLeast"/>
        </w:trPr>
        <w:tc>
          <w:tcPr>
            <w:tcW w:w="2040" w:type="dxa"/>
            <w:vAlign w:val="center"/>
          </w:tcPr>
          <w:p>
            <w:pPr>
              <w:autoSpaceDE w:val="0"/>
              <w:autoSpaceDN w:val="0"/>
              <w:adjustRightInd w:val="0"/>
              <w:spacing w:line="400" w:lineRule="atLeast"/>
              <w:jc w:val="center"/>
              <w:rPr>
                <w:rFonts w:hint="default" w:eastAsia="宋体"/>
                <w:sz w:val="24"/>
                <w:lang w:val="en-US" w:eastAsia="zh-CN"/>
              </w:rPr>
            </w:pPr>
          </w:p>
        </w:tc>
        <w:tc>
          <w:tcPr>
            <w:tcW w:w="1770" w:type="dxa"/>
            <w:vAlign w:val="center"/>
          </w:tcPr>
          <w:p>
            <w:pPr>
              <w:spacing w:line="320" w:lineRule="exact"/>
              <w:jc w:val="center"/>
              <w:rPr>
                <w:rFonts w:hint="default" w:eastAsia="宋体"/>
                <w:sz w:val="24"/>
                <w:lang w:val="en-US" w:eastAsia="zh-CN"/>
              </w:rPr>
            </w:pPr>
          </w:p>
        </w:tc>
        <w:tc>
          <w:tcPr>
            <w:tcW w:w="2115" w:type="dxa"/>
            <w:vAlign w:val="center"/>
          </w:tcPr>
          <w:p>
            <w:pPr>
              <w:autoSpaceDE w:val="0"/>
              <w:autoSpaceDN w:val="0"/>
              <w:adjustRightInd w:val="0"/>
              <w:spacing w:line="400" w:lineRule="atLeast"/>
              <w:jc w:val="center"/>
              <w:rPr>
                <w:rFonts w:hint="default" w:eastAsia="宋体"/>
                <w:sz w:val="24"/>
                <w:lang w:val="en-US" w:eastAsia="zh-CN"/>
              </w:rPr>
            </w:pPr>
          </w:p>
        </w:tc>
        <w:tc>
          <w:tcPr>
            <w:tcW w:w="1680" w:type="dxa"/>
            <w:vAlign w:val="center"/>
          </w:tcPr>
          <w:p>
            <w:pPr>
              <w:autoSpaceDE w:val="0"/>
              <w:autoSpaceDN w:val="0"/>
              <w:adjustRightInd w:val="0"/>
              <w:spacing w:line="400" w:lineRule="atLeast"/>
              <w:jc w:val="center"/>
              <w:rPr>
                <w:rFonts w:hint="default" w:ascii="Times New Roman" w:hAnsi="Times New Roman" w:eastAsia="宋体" w:cs="Times New Roman"/>
                <w:kern w:val="2"/>
                <w:sz w:val="24"/>
                <w:szCs w:val="24"/>
                <w:lang w:val="zh-CN" w:eastAsia="zh-CN" w:bidi="ar-SA"/>
              </w:rPr>
            </w:pPr>
            <w:r>
              <w:rPr>
                <w:rFonts w:hint="eastAsia"/>
                <w:sz w:val="24"/>
                <w:lang w:val="en-US" w:eastAsia="zh-CN"/>
              </w:rPr>
              <w:t>已备案（备案表附后）</w:t>
            </w:r>
          </w:p>
        </w:tc>
        <w:tc>
          <w:tcPr>
            <w:tcW w:w="1710" w:type="dxa"/>
            <w:vAlign w:val="center"/>
          </w:tcPr>
          <w:p>
            <w:pPr>
              <w:autoSpaceDE w:val="0"/>
              <w:autoSpaceDN w:val="0"/>
              <w:adjustRightInd w:val="0"/>
              <w:spacing w:line="400" w:lineRule="atLeast"/>
              <w:jc w:val="both"/>
              <w:rPr>
                <w:rFonts w:hint="default" w:ascii="Times New Roman" w:hAnsi="Times New Roman" w:eastAsia="宋体" w:cs="Times New Roman"/>
                <w:kern w:val="2"/>
                <w:sz w:val="24"/>
                <w:szCs w:val="24"/>
                <w:lang w:val="zh-CN" w:eastAsia="zh-CN" w:bidi="ar-SA"/>
              </w:rPr>
            </w:pPr>
            <w:r>
              <w:rPr>
                <w:rFonts w:hint="eastAsia"/>
                <w:sz w:val="24"/>
                <w:lang w:val="en-US" w:eastAsia="zh-CN"/>
              </w:rPr>
              <w:t>目前在管项目</w:t>
            </w:r>
          </w:p>
        </w:tc>
      </w:tr>
      <w:tr>
        <w:tblPrEx>
          <w:tblLayout w:type="fixed"/>
        </w:tblPrEx>
        <w:trPr>
          <w:cantSplit/>
          <w:trHeight w:val="662" w:hRule="atLeast"/>
        </w:trPr>
        <w:tc>
          <w:tcPr>
            <w:tcW w:w="2040" w:type="dxa"/>
            <w:vAlign w:val="center"/>
          </w:tcPr>
          <w:p>
            <w:pPr>
              <w:autoSpaceDE w:val="0"/>
              <w:autoSpaceDN w:val="0"/>
              <w:adjustRightInd w:val="0"/>
              <w:spacing w:line="400" w:lineRule="atLeast"/>
              <w:jc w:val="center"/>
              <w:rPr>
                <w:rFonts w:hint="default"/>
                <w:sz w:val="24"/>
                <w:lang w:val="en-US" w:eastAsia="zh-CN"/>
              </w:rPr>
            </w:pPr>
          </w:p>
        </w:tc>
        <w:tc>
          <w:tcPr>
            <w:tcW w:w="1770" w:type="dxa"/>
            <w:vAlign w:val="center"/>
          </w:tcPr>
          <w:p>
            <w:pPr>
              <w:spacing w:line="320" w:lineRule="exact"/>
              <w:jc w:val="center"/>
              <w:rPr>
                <w:rFonts w:hint="default"/>
                <w:sz w:val="24"/>
                <w:lang w:val="en-US" w:eastAsia="zh-CN"/>
              </w:rPr>
            </w:pPr>
          </w:p>
        </w:tc>
        <w:tc>
          <w:tcPr>
            <w:tcW w:w="2115" w:type="dxa"/>
            <w:vAlign w:val="center"/>
          </w:tcPr>
          <w:p>
            <w:pPr>
              <w:autoSpaceDE w:val="0"/>
              <w:autoSpaceDN w:val="0"/>
              <w:adjustRightInd w:val="0"/>
              <w:spacing w:line="400" w:lineRule="atLeast"/>
              <w:jc w:val="center"/>
              <w:rPr>
                <w:rFonts w:hint="eastAsia"/>
                <w:sz w:val="24"/>
                <w:lang w:val="en-US" w:eastAsia="zh-CN"/>
              </w:rPr>
            </w:pPr>
          </w:p>
        </w:tc>
        <w:tc>
          <w:tcPr>
            <w:tcW w:w="1680"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c>
          <w:tcPr>
            <w:tcW w:w="1710"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r>
      <w:tr>
        <w:tblPrEx>
          <w:tblLayout w:type="fixed"/>
        </w:tblPrEx>
        <w:trPr>
          <w:cantSplit/>
          <w:trHeight w:val="662" w:hRule="atLeast"/>
        </w:trPr>
        <w:tc>
          <w:tcPr>
            <w:tcW w:w="2040" w:type="dxa"/>
            <w:vAlign w:val="center"/>
          </w:tcPr>
          <w:p>
            <w:pPr>
              <w:autoSpaceDE w:val="0"/>
              <w:autoSpaceDN w:val="0"/>
              <w:adjustRightInd w:val="0"/>
              <w:spacing w:line="400" w:lineRule="atLeast"/>
              <w:jc w:val="center"/>
              <w:rPr>
                <w:rFonts w:hint="default"/>
                <w:sz w:val="24"/>
                <w:lang w:val="en-US" w:eastAsia="zh-CN"/>
              </w:rPr>
            </w:pPr>
          </w:p>
        </w:tc>
        <w:tc>
          <w:tcPr>
            <w:tcW w:w="1770" w:type="dxa"/>
            <w:vAlign w:val="center"/>
          </w:tcPr>
          <w:p>
            <w:pPr>
              <w:spacing w:line="320" w:lineRule="exact"/>
              <w:jc w:val="center"/>
              <w:rPr>
                <w:rFonts w:hint="default"/>
                <w:sz w:val="24"/>
                <w:lang w:val="en-US" w:eastAsia="zh-CN"/>
              </w:rPr>
            </w:pPr>
          </w:p>
        </w:tc>
        <w:tc>
          <w:tcPr>
            <w:tcW w:w="2115"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c>
          <w:tcPr>
            <w:tcW w:w="1680"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c>
          <w:tcPr>
            <w:tcW w:w="1710"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r>
      <w:tr>
        <w:tblPrEx>
          <w:tblLayout w:type="fixed"/>
        </w:tblPrEx>
        <w:trPr>
          <w:cantSplit/>
          <w:trHeight w:val="662" w:hRule="atLeast"/>
        </w:trPr>
        <w:tc>
          <w:tcPr>
            <w:tcW w:w="2040" w:type="dxa"/>
            <w:vAlign w:val="center"/>
          </w:tcPr>
          <w:p>
            <w:pPr>
              <w:autoSpaceDE w:val="0"/>
              <w:autoSpaceDN w:val="0"/>
              <w:adjustRightInd w:val="0"/>
              <w:spacing w:line="400" w:lineRule="atLeast"/>
              <w:jc w:val="center"/>
              <w:rPr>
                <w:rFonts w:hint="default"/>
                <w:sz w:val="24"/>
                <w:lang w:val="en-US" w:eastAsia="zh-CN"/>
              </w:rPr>
            </w:pPr>
          </w:p>
        </w:tc>
        <w:tc>
          <w:tcPr>
            <w:tcW w:w="1770" w:type="dxa"/>
            <w:vAlign w:val="center"/>
          </w:tcPr>
          <w:p>
            <w:pPr>
              <w:spacing w:line="320" w:lineRule="exact"/>
              <w:jc w:val="center"/>
              <w:rPr>
                <w:rFonts w:hint="eastAsia"/>
                <w:sz w:val="24"/>
                <w:lang w:val="en-US" w:eastAsia="zh-CN"/>
              </w:rPr>
            </w:pPr>
          </w:p>
        </w:tc>
        <w:tc>
          <w:tcPr>
            <w:tcW w:w="2115" w:type="dxa"/>
            <w:vAlign w:val="center"/>
          </w:tcPr>
          <w:p>
            <w:pPr>
              <w:autoSpaceDE w:val="0"/>
              <w:autoSpaceDN w:val="0"/>
              <w:adjustRightInd w:val="0"/>
              <w:spacing w:line="400" w:lineRule="atLeast"/>
              <w:jc w:val="center"/>
              <w:rPr>
                <w:rFonts w:hint="default" w:ascii="Times New Roman" w:hAnsi="Times New Roman" w:eastAsia="宋体" w:cs="Times New Roman"/>
                <w:kern w:val="2"/>
                <w:sz w:val="24"/>
                <w:szCs w:val="24"/>
                <w:lang w:val="en-US" w:eastAsia="zh-CN" w:bidi="ar-SA"/>
              </w:rPr>
            </w:pPr>
          </w:p>
        </w:tc>
        <w:tc>
          <w:tcPr>
            <w:tcW w:w="1680"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c>
          <w:tcPr>
            <w:tcW w:w="1710" w:type="dxa"/>
            <w:vAlign w:val="center"/>
          </w:tcPr>
          <w:p>
            <w:pPr>
              <w:autoSpaceDE w:val="0"/>
              <w:autoSpaceDN w:val="0"/>
              <w:adjustRightInd w:val="0"/>
              <w:spacing w:line="400" w:lineRule="atLeast"/>
              <w:jc w:val="center"/>
              <w:rPr>
                <w:rFonts w:hint="eastAsia" w:ascii="Times New Roman" w:hAnsi="Times New Roman" w:eastAsia="宋体" w:cs="Times New Roman"/>
                <w:kern w:val="2"/>
                <w:sz w:val="24"/>
                <w:szCs w:val="24"/>
                <w:lang w:val="en-US" w:eastAsia="zh-CN" w:bidi="ar-SA"/>
              </w:rPr>
            </w:pPr>
          </w:p>
        </w:tc>
      </w:tr>
    </w:tbl>
    <w:p>
      <w:pPr>
        <w:spacing w:before="156" w:beforeLines="50" w:after="156" w:afterLines="50" w:line="360" w:lineRule="auto"/>
        <w:ind w:right="-21" w:rightChars="-10"/>
        <w:rPr>
          <w:rFonts w:hint="eastAsia" w:ascii="Arial" w:hAnsi="宋体" w:cs="Arial"/>
          <w:sz w:val="24"/>
          <w:szCs w:val="24"/>
        </w:rPr>
      </w:pPr>
      <w:r>
        <w:rPr>
          <w:rFonts w:hint="eastAsia" w:ascii="Arial" w:hAnsi="宋体" w:cs="Arial"/>
          <w:sz w:val="24"/>
          <w:szCs w:val="24"/>
          <w:lang w:val="en-US" w:eastAsia="zh-CN"/>
        </w:rPr>
        <w:t>注：此证明仅用于“XXXXX”项目前期物业管理项目的招投标。</w:t>
      </w:r>
    </w:p>
    <w:p>
      <w:pPr>
        <w:rPr>
          <w:rFonts w:hint="eastAsia"/>
        </w:rPr>
      </w:pPr>
    </w:p>
    <w:p>
      <w:pPr>
        <w:spacing w:before="156" w:beforeLines="50" w:after="156" w:afterLines="50"/>
        <w:ind w:right="-10"/>
        <w:jc w:val="center"/>
        <w:rPr>
          <w:rFonts w:hint="eastAsia" w:ascii="Arial" w:hAnsi="宋体" w:cs="Arial"/>
          <w:sz w:val="24"/>
          <w:szCs w:val="24"/>
        </w:rPr>
      </w:pPr>
      <w:r>
        <w:rPr>
          <w:rFonts w:hint="eastAsia" w:ascii="Arial" w:hAnsi="宋体" w:cs="Arial"/>
          <w:sz w:val="24"/>
          <w:szCs w:val="24"/>
          <w:lang w:val="en-US" w:eastAsia="zh-CN"/>
        </w:rPr>
        <w:t xml:space="preserve"> </w:t>
      </w:r>
      <w:r>
        <w:rPr>
          <w:rFonts w:hint="eastAsia" w:ascii="Arial" w:hAnsi="宋体" w:cs="Arial"/>
          <w:sz w:val="24"/>
          <w:szCs w:val="24"/>
        </w:rPr>
        <w:t xml:space="preserve">                         </w:t>
      </w:r>
      <w:r>
        <w:rPr>
          <w:rFonts w:hint="eastAsia" w:ascii="Arial" w:hAnsi="宋体" w:cs="Arial"/>
          <w:sz w:val="24"/>
          <w:szCs w:val="24"/>
          <w:lang w:val="en-US" w:eastAsia="zh-CN"/>
        </w:rPr>
        <w:t xml:space="preserve">   </w:t>
      </w:r>
      <w:r>
        <w:rPr>
          <w:rFonts w:hint="eastAsia" w:ascii="Arial" w:hAnsi="宋体" w:cs="Arial"/>
          <w:sz w:val="24"/>
          <w:szCs w:val="24"/>
        </w:rPr>
        <w:t xml:space="preserve">    </w:t>
      </w:r>
    </w:p>
    <w:p>
      <w:pPr>
        <w:spacing w:before="156" w:beforeLines="50" w:after="156" w:afterLines="50"/>
        <w:ind w:right="-10"/>
        <w:jc w:val="center"/>
        <w:rPr>
          <w:rFonts w:hint="eastAsia" w:ascii="Arial" w:hAnsi="宋体" w:cs="Arial"/>
          <w:sz w:val="24"/>
          <w:szCs w:val="24"/>
        </w:rPr>
      </w:pPr>
    </w:p>
    <w:p>
      <w:pPr>
        <w:spacing w:before="156" w:beforeLines="50" w:after="156" w:afterLines="50"/>
        <w:ind w:right="-10"/>
        <w:jc w:val="center"/>
        <w:rPr>
          <w:rFonts w:hint="default" w:ascii="Arial" w:hAnsi="Arial" w:eastAsia="宋体" w:cs="Arial"/>
          <w:sz w:val="28"/>
          <w:szCs w:val="28"/>
          <w:lang w:val="en-US" w:eastAsia="zh-CN"/>
        </w:rPr>
      </w:pPr>
      <w:r>
        <w:rPr>
          <w:rFonts w:hint="eastAsia" w:ascii="Arial" w:hAnsi="宋体" w:cs="Arial"/>
          <w:sz w:val="24"/>
          <w:szCs w:val="24"/>
          <w:lang w:val="en-US" w:eastAsia="zh-CN"/>
        </w:rPr>
        <w:t xml:space="preserve">                                </w:t>
      </w:r>
      <w:r>
        <w:rPr>
          <w:rFonts w:hint="eastAsia" w:ascii="Arial" w:hAnsi="宋体" w:cs="Arial"/>
          <w:sz w:val="28"/>
          <w:szCs w:val="28"/>
        </w:rPr>
        <w:t xml:space="preserve"> </w:t>
      </w:r>
      <w:r>
        <w:rPr>
          <w:rFonts w:hint="eastAsia" w:ascii="Arial" w:hAnsi="宋体" w:cs="Arial"/>
          <w:sz w:val="28"/>
          <w:szCs w:val="28"/>
          <w:lang w:val="en-US" w:eastAsia="zh-CN"/>
        </w:rPr>
        <w:t>永嘉县住房和城乡建设局</w:t>
      </w:r>
    </w:p>
    <w:p>
      <w:pPr>
        <w:jc w:val="center"/>
        <w:rPr>
          <w:rFonts w:hint="default" w:ascii="Arial" w:hAnsi="宋体" w:eastAsia="宋体" w:cs="Arial"/>
          <w:sz w:val="28"/>
          <w:szCs w:val="28"/>
          <w:lang w:val="en-US" w:eastAsia="zh-CN"/>
        </w:rPr>
        <w:sectPr>
          <w:headerReference r:id="rId3" w:type="default"/>
          <w:footerReference r:id="rId4" w:type="default"/>
          <w:pgSz w:w="11906" w:h="16838"/>
          <w:pgMar w:top="1077" w:right="1028" w:bottom="1100" w:left="1247" w:header="851" w:footer="992" w:gutter="0"/>
          <w:pgNumType w:start="1"/>
          <w:cols w:space="720" w:num="1"/>
          <w:docGrid w:type="linesAndChars" w:linePitch="312" w:charSpace="0"/>
        </w:sectPr>
      </w:pPr>
      <w:r>
        <w:rPr>
          <w:rFonts w:hint="eastAsia" w:ascii="Arial" w:hAnsi="宋体" w:cs="Arial"/>
          <w:sz w:val="28"/>
          <w:szCs w:val="28"/>
        </w:rPr>
        <w:t xml:space="preserve"> </w:t>
      </w:r>
      <w:r>
        <w:rPr>
          <w:rFonts w:hint="eastAsia" w:ascii="Arial" w:hAnsi="宋体" w:cs="Arial"/>
          <w:sz w:val="28"/>
          <w:szCs w:val="28"/>
          <w:lang w:val="en-US" w:eastAsia="zh-CN"/>
        </w:rPr>
        <w:t xml:space="preserve">                                2024年  月 </w:t>
      </w:r>
    </w:p>
    <w:p>
      <w:pPr/>
    </w:p>
    <w:p>
      <w:pPr>
        <w:rPr>
          <w:rFonts w:hint="eastAsia"/>
          <w:lang w:val="en-US" w:eastAsia="zh-CN"/>
        </w:rPr>
      </w:pPr>
      <w:r>
        <w:rPr>
          <w:rFonts w:hint="eastAsia" w:ascii="宋体" w:hAnsi="宋体"/>
          <w:sz w:val="28"/>
          <w:szCs w:val="28"/>
          <w:lang w:val="en-US" w:eastAsia="zh-CN"/>
        </w:rPr>
        <w:t>附件九</w:t>
      </w:r>
    </w:p>
    <w:p>
      <w:pPr>
        <w:spacing w:line="480" w:lineRule="exact"/>
        <w:jc w:val="center"/>
        <w:rPr>
          <w:rFonts w:ascii="宋体" w:hAnsi="宋体" w:cs="宋体"/>
          <w:b/>
          <w:sz w:val="32"/>
          <w:szCs w:val="28"/>
        </w:rPr>
      </w:pPr>
      <w:r>
        <w:rPr>
          <w:rFonts w:hint="eastAsia" w:ascii="宋体" w:hAnsi="宋体" w:cs="宋体"/>
          <w:b/>
          <w:sz w:val="32"/>
          <w:szCs w:val="28"/>
        </w:rPr>
        <w:t>商务标报价一览表</w:t>
      </w:r>
    </w:p>
    <w:p>
      <w:pPr>
        <w:spacing w:line="480" w:lineRule="exact"/>
        <w:jc w:val="center"/>
        <w:rPr>
          <w:rFonts w:ascii="宋体" w:hAnsi="宋体" w:cs="宋体"/>
          <w:b/>
          <w:sz w:val="32"/>
          <w:szCs w:val="28"/>
        </w:rPr>
      </w:pPr>
    </w:p>
    <w:p>
      <w:pPr>
        <w:pStyle w:val="6"/>
        <w:spacing w:line="400" w:lineRule="exact"/>
        <w:ind w:firstLine="0"/>
        <w:rPr>
          <w:rFonts w:ascii="宋体" w:hAnsi="宋体" w:eastAsia="宋体" w:cs="宋体"/>
          <w:kern w:val="2"/>
          <w:sz w:val="24"/>
          <w:szCs w:val="28"/>
        </w:rPr>
      </w:pPr>
      <w:r>
        <w:rPr>
          <w:rFonts w:hint="eastAsia" w:ascii="宋体" w:hAnsi="宋体" w:eastAsia="宋体" w:cs="宋体"/>
          <w:kern w:val="2"/>
          <w:sz w:val="24"/>
          <w:szCs w:val="28"/>
        </w:rPr>
        <w:t>项目名称：</w:t>
      </w:r>
      <w:r>
        <w:rPr>
          <w:rFonts w:hint="eastAsia" w:ascii="宋体" w:hAnsi="宋体" w:eastAsia="宋体" w:cs="宋体"/>
          <w:kern w:val="2"/>
          <w:sz w:val="24"/>
          <w:szCs w:val="28"/>
          <w:lang w:val="en-US" w:eastAsia="zh-CN"/>
        </w:rPr>
        <w:t xml:space="preserve">                                 </w:t>
      </w:r>
      <w:r>
        <w:rPr>
          <w:rFonts w:hint="eastAsia" w:ascii="宋体" w:hAnsi="宋体" w:eastAsia="宋体" w:cs="宋体"/>
          <w:kern w:val="2"/>
          <w:sz w:val="24"/>
          <w:szCs w:val="28"/>
        </w:rPr>
        <w:t>（价格单位：人民币元）</w:t>
      </w:r>
    </w:p>
    <w:tbl>
      <w:tblPr>
        <w:tblStyle w:val="1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4168"/>
        <w:gridCol w:w="2533"/>
      </w:tblGrid>
      <w:tr>
        <w:tblPrEx>
          <w:tblLayout w:type="fixed"/>
        </w:tblPrEx>
        <w:trPr>
          <w:trHeight w:val="1263" w:hRule="atLeast"/>
        </w:trPr>
        <w:tc>
          <w:tcPr>
            <w:tcW w:w="2051" w:type="dxa"/>
            <w:tcBorders>
              <w:tl2br w:val="single" w:color="auto" w:sz="4" w:space="0"/>
            </w:tcBorders>
            <w:vAlign w:val="center"/>
          </w:tcPr>
          <w:p>
            <w:pPr>
              <w:snapToGrid w:val="0"/>
              <w:jc w:val="center"/>
              <w:rPr>
                <w:rFonts w:ascii="宋体" w:hAnsi="宋体" w:cs="宋体"/>
                <w:sz w:val="24"/>
              </w:rPr>
            </w:pPr>
            <w:r>
              <w:rPr>
                <w:rFonts w:hint="eastAsia" w:ascii="宋体" w:hAnsi="宋体" w:cs="宋体"/>
                <w:sz w:val="24"/>
              </w:rPr>
              <w:t xml:space="preserve">      标准</w:t>
            </w:r>
          </w:p>
          <w:p>
            <w:pPr>
              <w:snapToGrid w:val="0"/>
              <w:rPr>
                <w:rFonts w:ascii="宋体" w:hAnsi="宋体" w:cs="宋体"/>
                <w:sz w:val="24"/>
              </w:rPr>
            </w:pPr>
            <w:r>
              <w:rPr>
                <w:rFonts w:hint="eastAsia" w:ascii="宋体" w:hAnsi="宋体" w:cs="宋体"/>
                <w:sz w:val="24"/>
              </w:rPr>
              <w:t>等级</w:t>
            </w:r>
          </w:p>
        </w:tc>
        <w:tc>
          <w:tcPr>
            <w:tcW w:w="4168" w:type="dxa"/>
            <w:vAlign w:val="center"/>
          </w:tcPr>
          <w:p>
            <w:pPr>
              <w:jc w:val="center"/>
              <w:rPr>
                <w:rFonts w:ascii="宋体" w:hAnsi="宋体" w:cs="宋体"/>
                <w:sz w:val="24"/>
              </w:rPr>
            </w:pPr>
            <w:r>
              <w:rPr>
                <w:rFonts w:hint="eastAsia" w:ascii="宋体" w:hAnsi="宋体" w:cs="宋体"/>
                <w:sz w:val="24"/>
              </w:rPr>
              <w:t>元／平方米.月</w:t>
            </w:r>
          </w:p>
        </w:tc>
        <w:tc>
          <w:tcPr>
            <w:tcW w:w="2533" w:type="dxa"/>
            <w:vAlign w:val="center"/>
          </w:tcPr>
          <w:p>
            <w:pPr>
              <w:jc w:val="center"/>
              <w:rPr>
                <w:rFonts w:ascii="宋体" w:hAnsi="宋体" w:cs="宋体"/>
                <w:sz w:val="24"/>
              </w:rPr>
            </w:pPr>
            <w:r>
              <w:rPr>
                <w:rFonts w:hint="eastAsia" w:ascii="宋体" w:hAnsi="宋体" w:cs="宋体"/>
                <w:sz w:val="24"/>
              </w:rPr>
              <w:t>项目负责人</w:t>
            </w:r>
          </w:p>
        </w:tc>
      </w:tr>
      <w:tr>
        <w:tblPrEx>
          <w:tblLayout w:type="fixed"/>
        </w:tblPrEx>
        <w:trPr>
          <w:trHeight w:val="1035" w:hRule="atLeast"/>
        </w:trPr>
        <w:tc>
          <w:tcPr>
            <w:tcW w:w="2051" w:type="dxa"/>
            <w:vAlign w:val="center"/>
          </w:tcPr>
          <w:p>
            <w:pPr>
              <w:jc w:val="center"/>
              <w:rPr>
                <w:rFonts w:ascii="宋体" w:hAnsi="宋体" w:cs="宋体"/>
                <w:sz w:val="24"/>
              </w:rPr>
            </w:pPr>
            <w:r>
              <w:rPr>
                <w:rFonts w:hint="eastAsia" w:ascii="宋体" w:hAnsi="宋体" w:cs="宋体"/>
                <w:sz w:val="24"/>
              </w:rPr>
              <w:t>高层住宅</w:t>
            </w:r>
          </w:p>
        </w:tc>
        <w:tc>
          <w:tcPr>
            <w:tcW w:w="4168" w:type="dxa"/>
            <w:vAlign w:val="center"/>
          </w:tcPr>
          <w:p>
            <w:pPr>
              <w:jc w:val="center"/>
              <w:rPr>
                <w:rFonts w:ascii="宋体" w:hAnsi="宋体" w:cs="宋体"/>
                <w:sz w:val="24"/>
              </w:rPr>
            </w:pPr>
            <w:r>
              <w:rPr>
                <w:rFonts w:ascii="宋体" w:hAnsi="宋体" w:cs="宋体"/>
                <w:sz w:val="24"/>
                <w:u w:val="single"/>
              </w:rPr>
              <w:t xml:space="preserve">        </w:t>
            </w:r>
            <w:r>
              <w:rPr>
                <w:rFonts w:hint="eastAsia" w:ascii="宋体" w:hAnsi="宋体" w:cs="宋体"/>
                <w:sz w:val="24"/>
              </w:rPr>
              <w:t>元／平方米/月</w:t>
            </w:r>
          </w:p>
        </w:tc>
        <w:tc>
          <w:tcPr>
            <w:tcW w:w="2533" w:type="dxa"/>
            <w:vMerge w:val="restart"/>
            <w:vAlign w:val="center"/>
          </w:tcPr>
          <w:p>
            <w:pPr>
              <w:jc w:val="center"/>
              <w:rPr>
                <w:rFonts w:ascii="宋体" w:hAnsi="宋体" w:cs="宋体"/>
                <w:sz w:val="24"/>
              </w:rPr>
            </w:pPr>
          </w:p>
        </w:tc>
      </w:tr>
      <w:tr>
        <w:tblPrEx>
          <w:tblLayout w:type="fixed"/>
        </w:tblPrEx>
        <w:trPr>
          <w:trHeight w:val="1035" w:hRule="atLeast"/>
        </w:trPr>
        <w:tc>
          <w:tcPr>
            <w:tcW w:w="2051" w:type="dxa"/>
            <w:vAlign w:val="center"/>
          </w:tcPr>
          <w:p>
            <w:pPr>
              <w:jc w:val="center"/>
              <w:rPr>
                <w:rFonts w:ascii="宋体" w:hAnsi="宋体" w:cs="宋体"/>
                <w:sz w:val="24"/>
              </w:rPr>
            </w:pPr>
            <w:r>
              <w:rPr>
                <w:rFonts w:hint="eastAsia" w:ascii="宋体" w:hAnsi="宋体" w:cs="宋体"/>
                <w:sz w:val="24"/>
              </w:rPr>
              <w:t>商业</w:t>
            </w:r>
          </w:p>
        </w:tc>
        <w:tc>
          <w:tcPr>
            <w:tcW w:w="4168" w:type="dxa"/>
            <w:vAlign w:val="center"/>
          </w:tcPr>
          <w:p>
            <w:pPr>
              <w:jc w:val="center"/>
              <w:rPr>
                <w:rFonts w:ascii="宋体" w:hAnsi="宋体" w:cs="宋体"/>
                <w:sz w:val="24"/>
              </w:rPr>
            </w:pPr>
            <w:r>
              <w:rPr>
                <w:rFonts w:ascii="宋体" w:hAnsi="宋体" w:cs="宋体"/>
                <w:sz w:val="24"/>
                <w:u w:val="single"/>
              </w:rPr>
              <w:t xml:space="preserve">        </w:t>
            </w:r>
            <w:r>
              <w:rPr>
                <w:rFonts w:hint="eastAsia" w:ascii="宋体" w:hAnsi="宋体" w:cs="宋体"/>
                <w:sz w:val="24"/>
              </w:rPr>
              <w:t>元／平方米</w:t>
            </w:r>
            <w:r>
              <w:rPr>
                <w:rFonts w:ascii="宋体" w:hAnsi="宋体" w:cs="宋体"/>
                <w:sz w:val="24"/>
              </w:rPr>
              <w:t>/</w:t>
            </w:r>
            <w:r>
              <w:rPr>
                <w:rFonts w:hint="eastAsia" w:ascii="宋体" w:hAnsi="宋体" w:cs="宋体"/>
                <w:sz w:val="24"/>
              </w:rPr>
              <w:t>月</w:t>
            </w:r>
          </w:p>
        </w:tc>
        <w:tc>
          <w:tcPr>
            <w:tcW w:w="2533" w:type="dxa"/>
            <w:vMerge w:val="continue"/>
            <w:vAlign w:val="center"/>
          </w:tcPr>
          <w:p>
            <w:pPr>
              <w:jc w:val="center"/>
              <w:rPr>
                <w:rFonts w:ascii="宋体" w:hAnsi="宋体" w:cs="宋体"/>
                <w:sz w:val="24"/>
              </w:rPr>
            </w:pPr>
          </w:p>
        </w:tc>
      </w:tr>
      <w:tr>
        <w:tblPrEx>
          <w:tblLayout w:type="fixed"/>
        </w:tblPrEx>
        <w:trPr>
          <w:trHeight w:val="1035" w:hRule="atLeast"/>
        </w:trPr>
        <w:tc>
          <w:tcPr>
            <w:tcW w:w="2051" w:type="dxa"/>
            <w:vAlign w:val="center"/>
          </w:tcPr>
          <w:p>
            <w:pPr>
              <w:jc w:val="center"/>
              <w:rPr>
                <w:rFonts w:ascii="宋体" w:hAnsi="宋体" w:cs="宋体"/>
                <w:sz w:val="24"/>
              </w:rPr>
            </w:pPr>
            <w:r>
              <w:rPr>
                <w:rFonts w:hint="eastAsia" w:ascii="宋体" w:hAnsi="宋体" w:cs="宋体"/>
                <w:sz w:val="24"/>
              </w:rPr>
              <w:t>地下标准车位</w:t>
            </w:r>
          </w:p>
        </w:tc>
        <w:tc>
          <w:tcPr>
            <w:tcW w:w="4168" w:type="dxa"/>
            <w:vAlign w:val="center"/>
          </w:tcPr>
          <w:p>
            <w:pPr>
              <w:ind w:firstLine="720" w:firstLineChars="300"/>
              <w:rPr>
                <w:rFonts w:ascii="宋体" w:hAnsi="宋体" w:cs="宋体"/>
                <w:sz w:val="24"/>
              </w:rPr>
            </w:pPr>
            <w:r>
              <w:rPr>
                <w:rFonts w:ascii="宋体" w:hAnsi="宋体" w:cs="宋体"/>
                <w:sz w:val="24"/>
                <w:u w:val="single"/>
              </w:rPr>
              <w:t xml:space="preserve">        </w:t>
            </w:r>
            <w:r>
              <w:rPr>
                <w:rFonts w:hint="eastAsia" w:ascii="宋体" w:hAnsi="宋体" w:cs="宋体"/>
                <w:sz w:val="24"/>
              </w:rPr>
              <w:t>元／辆/月</w:t>
            </w:r>
          </w:p>
        </w:tc>
        <w:tc>
          <w:tcPr>
            <w:tcW w:w="2533" w:type="dxa"/>
            <w:vMerge w:val="continue"/>
            <w:vAlign w:val="center"/>
          </w:tcPr>
          <w:p>
            <w:pPr>
              <w:jc w:val="center"/>
              <w:rPr>
                <w:rFonts w:ascii="宋体" w:hAnsi="宋体" w:cs="宋体"/>
                <w:sz w:val="24"/>
              </w:rPr>
            </w:pPr>
          </w:p>
        </w:tc>
      </w:tr>
      <w:tr>
        <w:tblPrEx>
          <w:tblLayout w:type="fixed"/>
        </w:tblPrEx>
        <w:trPr>
          <w:trHeight w:val="1035" w:hRule="atLeast"/>
        </w:trPr>
        <w:tc>
          <w:tcPr>
            <w:tcW w:w="8752" w:type="dxa"/>
            <w:gridSpan w:val="3"/>
            <w:vAlign w:val="center"/>
          </w:tcPr>
          <w:p>
            <w:pPr>
              <w:ind w:right="-21" w:rightChars="-10"/>
              <w:rPr>
                <w:rFonts w:ascii="宋体" w:hAnsi="宋体" w:cs="宋体"/>
                <w:sz w:val="28"/>
                <w:szCs w:val="28"/>
              </w:rPr>
            </w:pPr>
            <w:r>
              <w:rPr>
                <w:rFonts w:hint="eastAsia" w:ascii="宋体" w:hAnsi="宋体" w:cs="宋体"/>
                <w:sz w:val="28"/>
                <w:szCs w:val="28"/>
              </w:rPr>
              <w:t>投标</w:t>
            </w:r>
            <w:r>
              <w:rPr>
                <w:rFonts w:hint="eastAsia" w:ascii="宋体" w:hAnsi="宋体" w:cs="宋体"/>
                <w:sz w:val="28"/>
                <w:szCs w:val="28"/>
                <w:lang w:val="en-US" w:eastAsia="zh-CN"/>
              </w:rPr>
              <w:t>月</w:t>
            </w:r>
            <w:r>
              <w:rPr>
                <w:rFonts w:hint="eastAsia" w:ascii="宋体" w:hAnsi="宋体" w:cs="宋体"/>
                <w:sz w:val="28"/>
                <w:szCs w:val="28"/>
              </w:rPr>
              <w:t>总价（小写）：</w:t>
            </w:r>
            <w:r>
              <w:rPr>
                <w:rFonts w:ascii="宋体" w:hAnsi="宋体" w:cs="宋体"/>
                <w:sz w:val="24"/>
                <w:u w:val="single"/>
              </w:rPr>
              <w:t xml:space="preserve">                                   </w:t>
            </w:r>
          </w:p>
          <w:p>
            <w:pPr>
              <w:rPr>
                <w:rFonts w:ascii="宋体" w:hAnsi="宋体" w:cs="宋体"/>
                <w:sz w:val="24"/>
              </w:rPr>
            </w:pPr>
            <w:r>
              <w:rPr>
                <w:rFonts w:hint="eastAsia" w:ascii="宋体" w:hAnsi="宋体" w:cs="宋体"/>
                <w:sz w:val="28"/>
                <w:szCs w:val="28"/>
              </w:rPr>
              <w:t>投标</w:t>
            </w:r>
            <w:r>
              <w:rPr>
                <w:rFonts w:hint="eastAsia" w:ascii="宋体" w:hAnsi="宋体" w:cs="宋体"/>
                <w:sz w:val="28"/>
                <w:szCs w:val="28"/>
                <w:lang w:val="en-US" w:eastAsia="zh-CN"/>
              </w:rPr>
              <w:t>月</w:t>
            </w:r>
            <w:r>
              <w:rPr>
                <w:rFonts w:hint="eastAsia" w:ascii="宋体" w:hAnsi="宋体" w:cs="宋体"/>
                <w:sz w:val="28"/>
                <w:szCs w:val="28"/>
              </w:rPr>
              <w:t>总价（大写）：</w:t>
            </w:r>
            <w:r>
              <w:rPr>
                <w:rFonts w:ascii="宋体" w:hAnsi="宋体" w:cs="宋体"/>
                <w:sz w:val="24"/>
                <w:u w:val="single"/>
              </w:rPr>
              <w:t xml:space="preserve">                                   </w:t>
            </w:r>
          </w:p>
        </w:tc>
      </w:tr>
    </w:tbl>
    <w:p>
      <w:pPr>
        <w:spacing w:line="480" w:lineRule="exact"/>
        <w:ind w:left="510" w:hanging="509" w:hangingChars="182"/>
        <w:rPr>
          <w:rFonts w:ascii="宋体" w:hAnsi="宋体" w:cs="宋体"/>
          <w:sz w:val="28"/>
          <w:szCs w:val="28"/>
        </w:rPr>
      </w:pPr>
      <w:r>
        <w:rPr>
          <w:rFonts w:hint="eastAsia" w:ascii="宋体" w:hAnsi="宋体" w:cs="宋体"/>
          <w:sz w:val="28"/>
          <w:szCs w:val="28"/>
        </w:rPr>
        <w:t>说明：1、此栏内投标总价仅用于商务标计算，最终签订合同以所报单价为准。</w:t>
      </w:r>
    </w:p>
    <w:p>
      <w:pPr>
        <w:spacing w:line="480" w:lineRule="exact"/>
        <w:ind w:left="315" w:leftChars="150" w:firstLine="560" w:firstLineChars="200"/>
        <w:rPr>
          <w:rFonts w:ascii="宋体" w:hAnsi="宋体" w:cs="宋体"/>
          <w:sz w:val="28"/>
          <w:szCs w:val="28"/>
        </w:rPr>
      </w:pPr>
    </w:p>
    <w:p>
      <w:pPr>
        <w:spacing w:line="480" w:lineRule="exact"/>
        <w:ind w:firstLine="3259" w:firstLineChars="1164"/>
        <w:rPr>
          <w:rFonts w:ascii="宋体" w:hAnsi="宋体" w:cs="宋体"/>
          <w:sz w:val="28"/>
          <w:szCs w:val="28"/>
        </w:rPr>
      </w:pPr>
      <w:r>
        <w:rPr>
          <w:rFonts w:hint="eastAsia" w:ascii="宋体" w:hAnsi="宋体" w:cs="宋体"/>
          <w:sz w:val="28"/>
          <w:szCs w:val="28"/>
        </w:rPr>
        <w:t>投标人全称（公章）：</w:t>
      </w:r>
    </w:p>
    <w:p>
      <w:pPr>
        <w:spacing w:line="480" w:lineRule="exact"/>
        <w:ind w:firstLine="3259" w:firstLineChars="1164"/>
        <w:rPr>
          <w:rFonts w:ascii="宋体" w:hAnsi="宋体" w:cs="宋体"/>
          <w:sz w:val="28"/>
          <w:szCs w:val="28"/>
        </w:rPr>
      </w:pPr>
    </w:p>
    <w:p>
      <w:pPr>
        <w:spacing w:line="480" w:lineRule="exact"/>
        <w:ind w:left="-193" w:leftChars="-92" w:firstLine="3500" w:firstLineChars="1250"/>
        <w:rPr>
          <w:rFonts w:ascii="宋体" w:hAnsi="宋体" w:cs="宋体"/>
          <w:sz w:val="28"/>
          <w:szCs w:val="28"/>
        </w:rPr>
      </w:pPr>
      <w:r>
        <w:rPr>
          <w:rFonts w:hint="eastAsia" w:ascii="宋体" w:hAnsi="宋体" w:cs="宋体"/>
          <w:sz w:val="28"/>
          <w:szCs w:val="28"/>
        </w:rPr>
        <w:t>法定代表人或授权代表（签字或盖章）：</w:t>
      </w:r>
    </w:p>
    <w:p>
      <w:pPr>
        <w:spacing w:line="480" w:lineRule="exact"/>
        <w:ind w:left="-193" w:leftChars="-92" w:firstLine="3500" w:firstLineChars="1250"/>
        <w:rPr>
          <w:rFonts w:ascii="宋体" w:hAnsi="宋体" w:cs="宋体"/>
          <w:sz w:val="28"/>
          <w:szCs w:val="28"/>
        </w:rPr>
      </w:pPr>
    </w:p>
    <w:p>
      <w:pPr>
        <w:spacing w:line="480" w:lineRule="exact"/>
        <w:ind w:firstLine="3360" w:firstLineChars="1200"/>
        <w:rPr>
          <w:rFonts w:ascii="宋体" w:hAnsi="宋体" w:cs="宋体"/>
          <w:sz w:val="28"/>
          <w:szCs w:val="28"/>
        </w:rPr>
      </w:pPr>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ascii="宋体" w:hAnsi="宋体"/>
          <w:sz w:val="28"/>
          <w:szCs w:val="28"/>
          <w:lang w:val="en-US" w:eastAsia="zh-CN"/>
        </w:rPr>
      </w:pPr>
      <w:r>
        <w:rPr>
          <w:rFonts w:hint="eastAsia" w:ascii="宋体" w:hAnsi="宋体"/>
          <w:sz w:val="28"/>
          <w:szCs w:val="28"/>
          <w:lang w:val="en-US" w:eastAsia="zh-CN"/>
        </w:rPr>
        <w:t>附件十</w:t>
      </w:r>
    </w:p>
    <w:p>
      <w:pPr>
        <w:rPr>
          <w:rFonts w:hint="default"/>
          <w:lang w:val="en-US" w:eastAsia="zh-CN"/>
        </w:rPr>
      </w:pPr>
    </w:p>
    <w:p>
      <w:pPr>
        <w:jc w:val="center"/>
        <w:rPr>
          <w:rFonts w:hint="eastAsia" w:ascii="宋体" w:hAnsi="宋体" w:cs="宋体"/>
          <w:b/>
          <w:bCs/>
          <w:sz w:val="30"/>
          <w:szCs w:val="30"/>
        </w:rPr>
      </w:pPr>
      <w:r>
        <w:rPr>
          <w:rFonts w:hint="eastAsia" w:ascii="宋体" w:hAnsi="宋体" w:cs="宋体"/>
          <w:b/>
          <w:bCs/>
          <w:sz w:val="30"/>
          <w:szCs w:val="30"/>
          <w:u w:val="single"/>
          <w:lang w:eastAsia="zh-CN"/>
        </w:rPr>
        <w:t>星悦家园</w:t>
      </w:r>
      <w:r>
        <w:rPr>
          <w:rFonts w:hint="eastAsia" w:ascii="宋体" w:hAnsi="宋体" w:cs="宋体"/>
          <w:b/>
          <w:bCs/>
          <w:sz w:val="30"/>
          <w:szCs w:val="30"/>
          <w:u w:val="single"/>
        </w:rPr>
        <w:t xml:space="preserve"> </w:t>
      </w:r>
      <w:r>
        <w:rPr>
          <w:rFonts w:hint="eastAsia" w:ascii="宋体" w:hAnsi="宋体" w:cs="宋体"/>
          <w:b/>
          <w:bCs/>
          <w:sz w:val="30"/>
          <w:szCs w:val="30"/>
        </w:rPr>
        <w:t>前期物业管理服务收费基准价及其浮动幅度</w:t>
      </w:r>
    </w:p>
    <w:p>
      <w:pPr>
        <w:ind w:firstLine="1320" w:firstLineChars="300"/>
        <w:rPr>
          <w:rFonts w:hint="eastAsia" w:ascii="宋体" w:hAnsi="宋体" w:cs="宋体"/>
          <w:sz w:val="44"/>
        </w:rPr>
      </w:pPr>
    </w:p>
    <w:p>
      <w:pPr>
        <w:jc w:val="right"/>
        <w:rPr>
          <w:rFonts w:hint="eastAsia" w:ascii="宋体" w:hAnsi="宋体" w:cs="宋体"/>
          <w:sz w:val="28"/>
          <w:szCs w:val="28"/>
        </w:rPr>
      </w:pPr>
      <w:r>
        <w:rPr>
          <w:rFonts w:hint="eastAsia" w:ascii="宋体" w:hAnsi="宋体" w:cs="宋体"/>
          <w:sz w:val="28"/>
          <w:szCs w:val="28"/>
        </w:rPr>
        <w:t>单位：元／平方米建筑面积·月</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12"/>
        <w:gridCol w:w="4320"/>
      </w:tblGrid>
      <w:tr>
        <w:tblPrEx>
          <w:tblLayout w:type="fixed"/>
        </w:tblPrEx>
        <w:trPr>
          <w:trHeight w:val="1403" w:hRule="atLeast"/>
        </w:trPr>
        <w:tc>
          <w:tcPr>
            <w:tcW w:w="1996" w:type="dxa"/>
            <w:tcBorders>
              <w:tl2br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 xml:space="preserve">      标准</w:t>
            </w:r>
          </w:p>
          <w:p>
            <w:pPr>
              <w:snapToGrid w:val="0"/>
              <w:rPr>
                <w:rFonts w:hint="eastAsia" w:ascii="宋体" w:hAnsi="宋体" w:cs="宋体"/>
                <w:sz w:val="24"/>
              </w:rPr>
            </w:pPr>
            <w:r>
              <w:rPr>
                <w:rFonts w:hint="eastAsia" w:ascii="宋体" w:hAnsi="宋体" w:cs="宋体"/>
                <w:sz w:val="24"/>
              </w:rPr>
              <w:t>等级</w:t>
            </w:r>
          </w:p>
        </w:tc>
        <w:tc>
          <w:tcPr>
            <w:tcW w:w="2612" w:type="dxa"/>
            <w:vAlign w:val="center"/>
          </w:tcPr>
          <w:p>
            <w:pPr>
              <w:jc w:val="center"/>
              <w:rPr>
                <w:rFonts w:hint="eastAsia" w:ascii="宋体" w:hAnsi="宋体" w:cs="宋体"/>
                <w:sz w:val="24"/>
              </w:rPr>
            </w:pPr>
            <w:r>
              <w:rPr>
                <w:rFonts w:hint="eastAsia" w:ascii="宋体" w:hAnsi="宋体" w:cs="宋体"/>
                <w:sz w:val="24"/>
              </w:rPr>
              <w:t>元／平方米</w:t>
            </w:r>
            <w:r>
              <w:rPr>
                <w:rFonts w:hint="eastAsia" w:ascii="宋体" w:hAnsi="宋体" w:cs="宋体"/>
                <w:sz w:val="24"/>
                <w:lang w:val="en-US" w:eastAsia="zh-CN"/>
              </w:rPr>
              <w:t>·</w:t>
            </w:r>
            <w:r>
              <w:rPr>
                <w:rFonts w:hint="eastAsia" w:ascii="宋体" w:hAnsi="宋体" w:cs="宋体"/>
                <w:sz w:val="24"/>
              </w:rPr>
              <w:t>月</w:t>
            </w:r>
          </w:p>
        </w:tc>
        <w:tc>
          <w:tcPr>
            <w:tcW w:w="4320" w:type="dxa"/>
            <w:vAlign w:val="center"/>
          </w:tcPr>
          <w:p>
            <w:pPr>
              <w:jc w:val="center"/>
              <w:rPr>
                <w:rFonts w:hint="eastAsia" w:ascii="宋体" w:hAnsi="宋体" w:cs="宋体"/>
                <w:sz w:val="24"/>
              </w:rPr>
            </w:pPr>
            <w:r>
              <w:rPr>
                <w:rFonts w:hint="eastAsia" w:ascii="宋体" w:hAnsi="宋体" w:cs="宋体"/>
                <w:sz w:val="24"/>
              </w:rPr>
              <w:t>是否允许上下浮动幅度</w:t>
            </w:r>
          </w:p>
        </w:tc>
      </w:tr>
      <w:tr>
        <w:tblPrEx>
          <w:tblLayout w:type="fixed"/>
        </w:tblPrEx>
        <w:trPr>
          <w:trHeight w:val="741" w:hRule="atLeast"/>
        </w:trPr>
        <w:tc>
          <w:tcPr>
            <w:tcW w:w="1996" w:type="dxa"/>
            <w:vAlign w:val="center"/>
          </w:tcPr>
          <w:p>
            <w:pPr>
              <w:jc w:val="center"/>
              <w:rPr>
                <w:rFonts w:hint="eastAsia" w:ascii="宋体" w:hAnsi="宋体" w:cs="宋体"/>
                <w:sz w:val="24"/>
              </w:rPr>
            </w:pPr>
            <w:r>
              <w:rPr>
                <w:rFonts w:hint="eastAsia" w:ascii="宋体" w:hAnsi="宋体" w:cs="宋体"/>
                <w:sz w:val="24"/>
              </w:rPr>
              <w:t>住宅</w:t>
            </w:r>
          </w:p>
        </w:tc>
        <w:tc>
          <w:tcPr>
            <w:tcW w:w="6932" w:type="dxa"/>
            <w:gridSpan w:val="2"/>
            <w:vAlign w:val="center"/>
          </w:tcPr>
          <w:p>
            <w:pPr>
              <w:jc w:val="center"/>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元／平方米</w:t>
            </w:r>
            <w:r>
              <w:rPr>
                <w:rFonts w:hint="eastAsia" w:ascii="宋体" w:hAnsi="宋体" w:cs="宋体"/>
                <w:sz w:val="24"/>
                <w:lang w:val="en-US" w:eastAsia="zh-CN"/>
              </w:rPr>
              <w:t>·</w:t>
            </w:r>
            <w:r>
              <w:rPr>
                <w:rFonts w:hint="eastAsia" w:ascii="宋体" w:hAnsi="宋体" w:cs="宋体"/>
                <w:sz w:val="24"/>
              </w:rPr>
              <w:t>月</w:t>
            </w:r>
            <w:r>
              <w:rPr>
                <w:rFonts w:hint="eastAsia" w:ascii="宋体" w:hAnsi="宋体" w:cs="宋体"/>
                <w:sz w:val="24"/>
                <w:lang w:val="en-US" w:eastAsia="zh-CN"/>
              </w:rPr>
              <w:t>-1.6元/</w:t>
            </w:r>
            <w:r>
              <w:rPr>
                <w:rFonts w:hint="eastAsia" w:ascii="宋体" w:hAnsi="宋体" w:cs="宋体"/>
                <w:sz w:val="24"/>
              </w:rPr>
              <w:t>平方米</w:t>
            </w:r>
            <w:r>
              <w:rPr>
                <w:rFonts w:hint="eastAsia" w:ascii="宋体" w:hAnsi="宋体" w:cs="宋体"/>
                <w:sz w:val="24"/>
                <w:lang w:val="en-US" w:eastAsia="zh-CN"/>
              </w:rPr>
              <w:t>·</w:t>
            </w:r>
            <w:r>
              <w:rPr>
                <w:rFonts w:hint="eastAsia" w:ascii="宋体" w:hAnsi="宋体" w:cs="宋体"/>
                <w:sz w:val="24"/>
              </w:rPr>
              <w:t>月</w:t>
            </w:r>
          </w:p>
        </w:tc>
      </w:tr>
      <w:tr>
        <w:tblPrEx>
          <w:tblLayout w:type="fixed"/>
        </w:tblPrEx>
        <w:trPr>
          <w:trHeight w:val="741" w:hRule="atLeast"/>
        </w:trPr>
        <w:tc>
          <w:tcPr>
            <w:tcW w:w="1996" w:type="dxa"/>
            <w:vAlign w:val="center"/>
          </w:tcPr>
          <w:p>
            <w:pPr>
              <w:jc w:val="center"/>
              <w:rPr>
                <w:rFonts w:hint="eastAsia" w:ascii="宋体" w:hAnsi="宋体" w:cs="宋体"/>
                <w:sz w:val="24"/>
              </w:rPr>
            </w:pPr>
            <w:r>
              <w:rPr>
                <w:rFonts w:hint="eastAsia" w:ascii="宋体" w:hAnsi="宋体" w:cs="宋体"/>
                <w:sz w:val="24"/>
              </w:rPr>
              <w:t>商业</w:t>
            </w:r>
          </w:p>
        </w:tc>
        <w:tc>
          <w:tcPr>
            <w:tcW w:w="2612" w:type="dxa"/>
            <w:vAlign w:val="center"/>
          </w:tcPr>
          <w:p>
            <w:pPr>
              <w:jc w:val="center"/>
              <w:rPr>
                <w:rFonts w:hint="eastAsia" w:ascii="宋体" w:hAnsi="宋体" w:cs="宋体"/>
                <w:sz w:val="24"/>
              </w:rPr>
            </w:pPr>
            <w:r>
              <w:rPr>
                <w:rFonts w:hint="eastAsia" w:ascii="宋体" w:hAnsi="宋体" w:cs="宋体"/>
                <w:sz w:val="24"/>
              </w:rPr>
              <w:t>2.5元／平方米</w:t>
            </w:r>
            <w:r>
              <w:rPr>
                <w:rFonts w:hint="eastAsia" w:ascii="宋体" w:hAnsi="宋体" w:cs="宋体"/>
                <w:sz w:val="24"/>
                <w:lang w:val="en-US" w:eastAsia="zh-CN"/>
              </w:rPr>
              <w:t>·</w:t>
            </w:r>
            <w:r>
              <w:rPr>
                <w:rFonts w:hint="eastAsia" w:ascii="宋体" w:hAnsi="宋体" w:cs="宋体"/>
                <w:sz w:val="24"/>
              </w:rPr>
              <w:t>月</w:t>
            </w:r>
          </w:p>
        </w:tc>
        <w:tc>
          <w:tcPr>
            <w:tcW w:w="4320" w:type="dxa"/>
            <w:vAlign w:val="center"/>
          </w:tcPr>
          <w:p>
            <w:pPr>
              <w:jc w:val="center"/>
              <w:rPr>
                <w:rFonts w:hint="eastAsia" w:ascii="宋体" w:hAnsi="宋体" w:cs="宋体"/>
                <w:sz w:val="24"/>
              </w:rPr>
            </w:pPr>
            <w:r>
              <w:rPr>
                <w:rFonts w:hint="eastAsia" w:ascii="宋体" w:hAnsi="宋体" w:cs="宋体"/>
                <w:sz w:val="24"/>
              </w:rPr>
              <w:t>不允许</w:t>
            </w:r>
          </w:p>
        </w:tc>
      </w:tr>
    </w:tbl>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pStyle w:val="2"/>
        <w:rPr>
          <w:rFonts w:hint="eastAsia"/>
        </w:rPr>
      </w:pPr>
    </w:p>
    <w:p>
      <w:pPr>
        <w:spacing w:line="480" w:lineRule="exact"/>
        <w:rPr>
          <w:rFonts w:hint="eastAsia" w:ascii="宋体" w:hAnsi="宋体" w:cs="仿宋_GB2312"/>
          <w:b/>
          <w:color w:val="C00000"/>
          <w:sz w:val="30"/>
          <w:szCs w:val="30"/>
        </w:rPr>
      </w:pPr>
    </w:p>
    <w:p>
      <w:pPr>
        <w:spacing w:line="480" w:lineRule="exact"/>
        <w:rPr>
          <w:rFonts w:hint="eastAsia" w:ascii="宋体" w:hAnsi="宋体" w:cs="仿宋_GB2312"/>
          <w:b/>
          <w:color w:val="C00000"/>
          <w:sz w:val="30"/>
          <w:szCs w:val="30"/>
        </w:rPr>
      </w:pPr>
    </w:p>
    <w:p>
      <w:pPr>
        <w:pStyle w:val="2"/>
        <w:ind w:left="0" w:leftChars="0" w:firstLine="0" w:firstLineChars="0"/>
        <w:rPr>
          <w:rFonts w:hint="eastAsia" w:ascii="宋体" w:hAnsi="宋体" w:eastAsia="黑体" w:cs="宋体"/>
          <w:color w:val="FF0000"/>
          <w:sz w:val="22"/>
          <w:szCs w:val="22"/>
          <w:lang w:eastAsia="zh-CN"/>
        </w:rPr>
      </w:pPr>
      <w:r>
        <w:rPr>
          <w:rFonts w:hint="eastAsia" w:ascii="Times New Roman" w:hAnsi="Times New Roman" w:eastAsia="宋体" w:cs="Times New Roman"/>
          <w:color w:val="FF0000"/>
          <w:kern w:val="2"/>
          <w:sz w:val="28"/>
          <w:szCs w:val="24"/>
          <w:lang w:val="en-US" w:eastAsia="zh-CN" w:bidi="ar-SA"/>
        </w:rPr>
        <w:t>附件</w:t>
      </w:r>
      <w:r>
        <w:rPr>
          <w:rFonts w:hint="eastAsia" w:cs="Times New Roman"/>
          <w:color w:val="FF0000"/>
          <w:kern w:val="2"/>
          <w:sz w:val="28"/>
          <w:szCs w:val="24"/>
          <w:lang w:val="en-US" w:eastAsia="zh-CN" w:bidi="ar-SA"/>
        </w:rPr>
        <w:t>十一</w:t>
      </w:r>
    </w:p>
    <w:p>
      <w:pPr>
        <w:autoSpaceDE w:val="0"/>
        <w:autoSpaceDN w:val="0"/>
        <w:snapToGrid w:val="0"/>
        <w:spacing w:before="100" w:after="100" w:line="360" w:lineRule="auto"/>
        <w:ind w:firstLine="450"/>
        <w:jc w:val="center"/>
        <w:rPr>
          <w:rFonts w:hint="eastAsia" w:ascii="宋体" w:hAnsi="宋体"/>
          <w:b/>
          <w:bCs/>
          <w:color w:val="FF0000"/>
          <w:sz w:val="22"/>
          <w:szCs w:val="22"/>
        </w:rPr>
      </w:pPr>
    </w:p>
    <w:p>
      <w:pPr>
        <w:autoSpaceDE w:val="0"/>
        <w:autoSpaceDN w:val="0"/>
        <w:snapToGrid w:val="0"/>
        <w:spacing w:before="100" w:after="100" w:line="360" w:lineRule="auto"/>
        <w:ind w:firstLine="450"/>
        <w:jc w:val="center"/>
        <w:rPr>
          <w:rFonts w:hint="eastAsia" w:ascii="宋体" w:hAnsi="宋体"/>
          <w:b/>
          <w:bCs/>
          <w:color w:val="FF0000"/>
          <w:sz w:val="22"/>
          <w:szCs w:val="22"/>
        </w:rPr>
      </w:pPr>
      <w:r>
        <w:rPr>
          <w:rFonts w:hint="eastAsia" w:ascii="宋体" w:hAnsi="宋体"/>
          <w:b/>
          <w:bCs/>
          <w:color w:val="FF0000"/>
          <w:sz w:val="22"/>
          <w:szCs w:val="22"/>
        </w:rPr>
        <w:t>人员配置情况表</w:t>
      </w:r>
    </w:p>
    <w:p>
      <w:pPr>
        <w:autoSpaceDE w:val="0"/>
        <w:autoSpaceDN w:val="0"/>
        <w:snapToGrid w:val="0"/>
        <w:spacing w:before="100" w:after="100" w:line="360" w:lineRule="auto"/>
        <w:ind w:firstLine="450"/>
        <w:rPr>
          <w:rFonts w:hint="eastAsia" w:ascii="宋体" w:hAnsi="宋体"/>
          <w:color w:val="FF0000"/>
          <w:sz w:val="22"/>
          <w:szCs w:val="22"/>
        </w:rPr>
      </w:pPr>
      <w:r>
        <w:rPr>
          <w:rFonts w:hint="eastAsia" w:ascii="宋体" w:hAnsi="宋体"/>
          <w:color w:val="FF0000"/>
          <w:sz w:val="22"/>
          <w:szCs w:val="22"/>
        </w:rPr>
        <w:t>具体如下：</w:t>
      </w:r>
    </w:p>
    <w:tbl>
      <w:tblPr>
        <w:tblStyle w:val="14"/>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78"/>
        <w:gridCol w:w="4521"/>
        <w:gridCol w:w="1558"/>
      </w:tblGrid>
      <w:tr>
        <w:tblPrEx>
          <w:tblLayout w:type="fixed"/>
        </w:tblPrEx>
        <w:trPr>
          <w:trHeight w:val="397"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岗位</w:t>
            </w:r>
          </w:p>
        </w:tc>
        <w:tc>
          <w:tcPr>
            <w:tcW w:w="778" w:type="dxa"/>
            <w:vAlign w:val="center"/>
          </w:tcPr>
          <w:p>
            <w:pPr>
              <w:jc w:val="center"/>
              <w:rPr>
                <w:rFonts w:hint="eastAsia" w:ascii="宋体" w:hAnsi="宋体"/>
                <w:color w:val="FF0000"/>
                <w:sz w:val="22"/>
                <w:szCs w:val="22"/>
              </w:rPr>
            </w:pPr>
            <w:r>
              <w:rPr>
                <w:rFonts w:hint="eastAsia" w:ascii="宋体" w:hAnsi="宋体"/>
                <w:color w:val="FF0000"/>
                <w:sz w:val="22"/>
                <w:szCs w:val="22"/>
              </w:rPr>
              <w:t>人数</w:t>
            </w:r>
          </w:p>
        </w:tc>
        <w:tc>
          <w:tcPr>
            <w:tcW w:w="4521" w:type="dxa"/>
            <w:vAlign w:val="center"/>
          </w:tcPr>
          <w:p>
            <w:pPr>
              <w:jc w:val="center"/>
              <w:rPr>
                <w:rFonts w:hint="eastAsia" w:ascii="宋体" w:hAnsi="宋体"/>
                <w:color w:val="FF0000"/>
                <w:sz w:val="22"/>
                <w:szCs w:val="22"/>
              </w:rPr>
            </w:pPr>
            <w:r>
              <w:rPr>
                <w:rFonts w:hint="eastAsia" w:ascii="宋体" w:hAnsi="宋体"/>
                <w:color w:val="FF0000"/>
                <w:sz w:val="22"/>
                <w:szCs w:val="22"/>
              </w:rPr>
              <w:t>承担工作</w:t>
            </w:r>
          </w:p>
        </w:tc>
        <w:tc>
          <w:tcPr>
            <w:tcW w:w="1558" w:type="dxa"/>
            <w:vAlign w:val="center"/>
          </w:tcPr>
          <w:p>
            <w:pPr>
              <w:jc w:val="center"/>
              <w:rPr>
                <w:rFonts w:hint="eastAsia" w:ascii="宋体" w:hAnsi="宋体"/>
                <w:color w:val="FF0000"/>
                <w:sz w:val="22"/>
                <w:szCs w:val="22"/>
              </w:rPr>
            </w:pPr>
            <w:r>
              <w:rPr>
                <w:rFonts w:hint="eastAsia" w:ascii="宋体" w:hAnsi="宋体"/>
                <w:color w:val="FF0000"/>
                <w:sz w:val="22"/>
                <w:szCs w:val="22"/>
              </w:rPr>
              <w:t>备注</w:t>
            </w:r>
          </w:p>
        </w:tc>
      </w:tr>
      <w:tr>
        <w:tblPrEx>
          <w:tblLayout w:type="fixed"/>
        </w:tblPrEx>
        <w:trPr>
          <w:trHeight w:val="90"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项目经理</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全面负责所管辖项目物业服务管理工作。</w:t>
            </w:r>
          </w:p>
        </w:tc>
        <w:tc>
          <w:tcPr>
            <w:tcW w:w="1558" w:type="dxa"/>
            <w:vAlign w:val="center"/>
          </w:tcPr>
          <w:p>
            <w:pPr>
              <w:jc w:val="center"/>
              <w:rPr>
                <w:rFonts w:hint="eastAsia" w:ascii="宋体" w:hAnsi="宋体"/>
                <w:color w:val="FF0000"/>
                <w:sz w:val="22"/>
                <w:szCs w:val="22"/>
              </w:rPr>
            </w:pPr>
          </w:p>
        </w:tc>
      </w:tr>
      <w:tr>
        <w:tblPrEx>
          <w:tblLayout w:type="fixed"/>
        </w:tblPrEx>
        <w:trPr>
          <w:trHeight w:val="675"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综合管理员</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协助经理项目管理，统筹负责项目客户服务工作，活动策划，物料管控，兼出纳工作。</w:t>
            </w:r>
          </w:p>
        </w:tc>
        <w:tc>
          <w:tcPr>
            <w:tcW w:w="1558" w:type="dxa"/>
            <w:vAlign w:val="center"/>
          </w:tcPr>
          <w:p>
            <w:pPr>
              <w:jc w:val="center"/>
              <w:rPr>
                <w:rFonts w:hint="eastAsia" w:ascii="宋体" w:hAnsi="宋体"/>
                <w:color w:val="FF0000"/>
                <w:sz w:val="22"/>
                <w:szCs w:val="22"/>
              </w:rPr>
            </w:pPr>
          </w:p>
        </w:tc>
      </w:tr>
      <w:tr>
        <w:tblPrEx>
          <w:tblLayout w:type="fixed"/>
        </w:tblPrEx>
        <w:trPr>
          <w:trHeight w:val="675"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客服管家</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负责项目的客户服务工作，做好应事应答，进行园区活动落地。</w:t>
            </w:r>
          </w:p>
          <w:p>
            <w:pPr>
              <w:jc w:val="left"/>
              <w:rPr>
                <w:rFonts w:hint="eastAsia" w:ascii="宋体" w:hAnsi="宋体"/>
                <w:color w:val="FF0000"/>
                <w:sz w:val="22"/>
                <w:szCs w:val="22"/>
              </w:rPr>
            </w:pPr>
            <w:r>
              <w:rPr>
                <w:rFonts w:hint="eastAsia" w:ascii="宋体" w:hAnsi="宋体"/>
                <w:color w:val="FF0000"/>
                <w:sz w:val="22"/>
                <w:szCs w:val="22"/>
              </w:rPr>
              <w:t>根据楼栋分布分区域网格化管理。</w:t>
            </w:r>
          </w:p>
        </w:tc>
        <w:tc>
          <w:tcPr>
            <w:tcW w:w="1558" w:type="dxa"/>
            <w:vAlign w:val="center"/>
          </w:tcPr>
          <w:p>
            <w:pPr>
              <w:jc w:val="center"/>
              <w:rPr>
                <w:rFonts w:hint="eastAsia" w:ascii="宋体" w:hAnsi="宋体"/>
                <w:color w:val="FF0000"/>
                <w:sz w:val="22"/>
                <w:szCs w:val="22"/>
              </w:rPr>
            </w:pPr>
          </w:p>
        </w:tc>
      </w:tr>
      <w:tr>
        <w:tblPrEx>
          <w:tblLayout w:type="fixed"/>
        </w:tblPrEx>
        <w:trPr>
          <w:trHeight w:val="675"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秩序维护队长</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Merge w:val="restart"/>
            <w:vAlign w:val="center"/>
          </w:tcPr>
          <w:p>
            <w:pPr>
              <w:jc w:val="left"/>
              <w:rPr>
                <w:rFonts w:hint="eastAsia" w:ascii="宋体" w:hAnsi="宋体"/>
                <w:color w:val="FF0000"/>
                <w:sz w:val="22"/>
                <w:szCs w:val="22"/>
              </w:rPr>
            </w:pPr>
            <w:r>
              <w:rPr>
                <w:rFonts w:hint="eastAsia" w:ascii="宋体" w:hAnsi="宋体"/>
                <w:color w:val="FF0000"/>
                <w:sz w:val="22"/>
                <w:szCs w:val="22"/>
              </w:rPr>
              <w:t>负责小区保安管理工作（参与日常秩序工作），同时参与实际工作轮休及机动。</w:t>
            </w: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秩序维护员</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Merge w:val="continue"/>
            <w:vAlign w:val="center"/>
          </w:tcPr>
          <w:p>
            <w:pPr>
              <w:jc w:val="left"/>
              <w:rPr>
                <w:rFonts w:hint="eastAsia" w:ascii="宋体" w:hAnsi="宋体"/>
                <w:color w:val="FF0000"/>
                <w:sz w:val="22"/>
                <w:szCs w:val="22"/>
              </w:rPr>
            </w:pP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消控员</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消防、监控室的值班管理，进行相关风险预警和指挥（连接公安消防系统网上平台），含轮休。</w:t>
            </w: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水电工</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负责小区综合维修工作相关专业如下：具备强弱电工 、管道工、泥工 、综合维修等专业能力，强弱电、工程维修技工等专业证书。</w:t>
            </w: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保洁领班</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负责小区保洁的具体事务落实、班次管理，以及技术型保洁内容项的操作。</w:t>
            </w: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保洁员</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区域划分，片区保洁。（配置机械设备、人员具备一定机械化设备操作能力。)</w:t>
            </w: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hint="eastAsia" w:ascii="宋体" w:hAnsi="宋体"/>
                <w:color w:val="FF0000"/>
                <w:sz w:val="22"/>
                <w:szCs w:val="22"/>
              </w:rPr>
            </w:pPr>
            <w:r>
              <w:rPr>
                <w:rFonts w:hint="eastAsia" w:ascii="宋体" w:hAnsi="宋体"/>
                <w:color w:val="FF0000"/>
                <w:sz w:val="22"/>
                <w:szCs w:val="22"/>
              </w:rPr>
              <w:t>垃圾清运工</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负责垃圾清运。</w:t>
            </w:r>
          </w:p>
        </w:tc>
        <w:tc>
          <w:tcPr>
            <w:tcW w:w="1558" w:type="dxa"/>
            <w:vAlign w:val="center"/>
          </w:tcPr>
          <w:p>
            <w:pPr>
              <w:jc w:val="center"/>
              <w:rPr>
                <w:rFonts w:hint="eastAsia" w:ascii="宋体" w:hAnsi="宋体"/>
                <w:color w:val="FF0000"/>
                <w:sz w:val="22"/>
                <w:szCs w:val="22"/>
              </w:rPr>
            </w:pPr>
          </w:p>
        </w:tc>
      </w:tr>
      <w:tr>
        <w:tblPrEx>
          <w:tblLayout w:type="fixed"/>
        </w:tblPrEx>
        <w:trPr>
          <w:trHeight w:val="652" w:hRule="atLeast"/>
          <w:jc w:val="center"/>
        </w:trPr>
        <w:tc>
          <w:tcPr>
            <w:tcW w:w="1541" w:type="dxa"/>
            <w:vAlign w:val="center"/>
          </w:tcPr>
          <w:p>
            <w:pPr>
              <w:jc w:val="center"/>
              <w:rPr>
                <w:rFonts w:ascii="宋体" w:hAnsi="宋体"/>
                <w:color w:val="FF0000"/>
                <w:sz w:val="22"/>
                <w:szCs w:val="22"/>
              </w:rPr>
            </w:pPr>
            <w:r>
              <w:rPr>
                <w:rFonts w:hint="eastAsia" w:ascii="宋体" w:hAnsi="宋体"/>
                <w:color w:val="FF0000"/>
                <w:sz w:val="22"/>
                <w:szCs w:val="22"/>
              </w:rPr>
              <w:t>绿化工</w:t>
            </w:r>
          </w:p>
        </w:tc>
        <w:tc>
          <w:tcPr>
            <w:tcW w:w="778" w:type="dxa"/>
            <w:vAlign w:val="center"/>
          </w:tcPr>
          <w:p>
            <w:pPr>
              <w:jc w:val="center"/>
              <w:rPr>
                <w:rFonts w:hint="eastAsia" w:ascii="宋体" w:hAnsi="宋体" w:eastAsia="宋体"/>
                <w:color w:val="FF0000"/>
                <w:sz w:val="22"/>
                <w:szCs w:val="22"/>
                <w:lang w:eastAsia="zh-CN"/>
              </w:rPr>
            </w:pPr>
            <w:r>
              <w:rPr>
                <w:rFonts w:hint="eastAsia" w:ascii="宋体" w:hAnsi="宋体"/>
                <w:color w:val="FF0000"/>
                <w:sz w:val="22"/>
                <w:szCs w:val="22"/>
                <w:lang w:val="en-US" w:eastAsia="zh-CN"/>
              </w:rPr>
              <w:t xml:space="preserve"> </w:t>
            </w:r>
          </w:p>
        </w:tc>
        <w:tc>
          <w:tcPr>
            <w:tcW w:w="4521" w:type="dxa"/>
            <w:vAlign w:val="center"/>
          </w:tcPr>
          <w:p>
            <w:pPr>
              <w:jc w:val="left"/>
              <w:rPr>
                <w:rFonts w:hint="eastAsia" w:ascii="宋体" w:hAnsi="宋体"/>
                <w:color w:val="FF0000"/>
                <w:sz w:val="22"/>
                <w:szCs w:val="22"/>
              </w:rPr>
            </w:pPr>
            <w:r>
              <w:rPr>
                <w:rFonts w:hint="eastAsia" w:ascii="宋体" w:hAnsi="宋体"/>
                <w:color w:val="FF0000"/>
                <w:sz w:val="22"/>
                <w:szCs w:val="22"/>
              </w:rPr>
              <w:t>负责公共区域专人驻场绿化养护，景观提升工作，人员根据季节性派驻。</w:t>
            </w:r>
          </w:p>
        </w:tc>
        <w:tc>
          <w:tcPr>
            <w:tcW w:w="1558" w:type="dxa"/>
            <w:vAlign w:val="center"/>
          </w:tcPr>
          <w:p>
            <w:pPr>
              <w:jc w:val="center"/>
              <w:rPr>
                <w:rFonts w:hint="eastAsia" w:ascii="宋体" w:hAnsi="宋体"/>
                <w:color w:val="FF0000"/>
                <w:sz w:val="22"/>
                <w:szCs w:val="22"/>
              </w:rPr>
            </w:pPr>
          </w:p>
        </w:tc>
      </w:tr>
    </w:tbl>
    <w:p>
      <w:pPr>
        <w:spacing w:line="420" w:lineRule="exact"/>
        <w:ind w:firstLine="1980" w:firstLineChars="550"/>
        <w:jc w:val="center"/>
        <w:rPr>
          <w:rFonts w:ascii="宋体" w:hAnsi="宋体"/>
          <w:color w:val="FF0000"/>
          <w:sz w:val="36"/>
          <w:szCs w:val="36"/>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rPr>
          <w:rFonts w:hint="eastAsia" w:ascii="Times New Roman" w:hAnsi="Times New Roman" w:eastAsia="宋体" w:cs="Times New Roman"/>
          <w:color w:val="FF0000"/>
          <w:sz w:val="28"/>
          <w:lang w:eastAsia="zh-CN"/>
        </w:rPr>
      </w:pPr>
      <w:r>
        <w:rPr>
          <w:rFonts w:hint="eastAsia" w:ascii="Times New Roman" w:hAnsi="Times New Roman" w:eastAsia="宋体" w:cs="Times New Roman"/>
          <w:color w:val="FF0000"/>
          <w:sz w:val="28"/>
          <w:lang w:eastAsia="zh-CN"/>
        </w:rPr>
        <w:t>附件</w:t>
      </w:r>
      <w:r>
        <w:rPr>
          <w:rFonts w:hint="eastAsia" w:cs="Times New Roman"/>
          <w:color w:val="FF0000"/>
          <w:sz w:val="28"/>
          <w:lang w:val="en-US" w:eastAsia="zh-CN"/>
        </w:rPr>
        <w:t>十二</w:t>
      </w:r>
      <w:r>
        <w:rPr>
          <w:rFonts w:hint="eastAsia" w:ascii="Times New Roman" w:hAnsi="Times New Roman" w:eastAsia="宋体" w:cs="Times New Roman"/>
          <w:color w:val="FF0000"/>
          <w:sz w:val="28"/>
          <w:lang w:eastAsia="zh-CN"/>
        </w:rPr>
        <w:t>：</w:t>
      </w:r>
    </w:p>
    <w:p>
      <w:pPr>
        <w:tabs>
          <w:tab w:val="center" w:pos="4592"/>
        </w:tabs>
        <w:jc w:val="center"/>
        <w:rPr>
          <w:rFonts w:ascii="宋体" w:hAnsi="宋体"/>
          <w:b/>
          <w:bCs/>
          <w:color w:val="FF0000"/>
          <w:sz w:val="52"/>
          <w:szCs w:val="52"/>
          <w:highlight w:val="none"/>
        </w:rPr>
      </w:pPr>
      <w:r>
        <w:rPr>
          <w:rFonts w:hint="eastAsia" w:ascii="宋体" w:hAnsi="宋体"/>
          <w:b/>
          <w:bCs/>
          <w:color w:val="FF0000"/>
          <w:sz w:val="52"/>
          <w:szCs w:val="52"/>
          <w:highlight w:val="none"/>
        </w:rPr>
        <w:t>前期物业服务合同</w:t>
      </w:r>
    </w:p>
    <w:p>
      <w:pPr>
        <w:rPr>
          <w:rFonts w:ascii="宋体" w:hAnsi="宋体"/>
          <w:b/>
          <w:bCs/>
          <w:color w:val="FF0000"/>
          <w:sz w:val="44"/>
          <w:szCs w:val="44"/>
          <w:highlight w:val="none"/>
        </w:rPr>
      </w:pPr>
    </w:p>
    <w:p>
      <w:pPr>
        <w:rPr>
          <w:rFonts w:ascii="宋体" w:hAnsi="宋体"/>
          <w:b/>
          <w:bCs/>
          <w:color w:val="FF0000"/>
          <w:sz w:val="44"/>
          <w:szCs w:val="44"/>
          <w:highlight w:val="none"/>
        </w:rPr>
      </w:pPr>
    </w:p>
    <w:p>
      <w:pPr>
        <w:rPr>
          <w:rFonts w:ascii="宋体" w:hAnsi="宋体"/>
          <w:b/>
          <w:bCs/>
          <w:color w:val="FF0000"/>
          <w:sz w:val="44"/>
          <w:szCs w:val="44"/>
          <w:highlight w:val="none"/>
        </w:rPr>
      </w:pPr>
    </w:p>
    <w:p>
      <w:pPr>
        <w:rPr>
          <w:rFonts w:ascii="宋体" w:hAnsi="宋体"/>
          <w:b/>
          <w:bCs/>
          <w:color w:val="FF0000"/>
          <w:sz w:val="44"/>
          <w:szCs w:val="44"/>
          <w:highlight w:val="none"/>
        </w:rPr>
      </w:pPr>
    </w:p>
    <w:p>
      <w:pPr>
        <w:rPr>
          <w:rFonts w:ascii="宋体" w:hAnsi="宋体"/>
          <w:b/>
          <w:bCs/>
          <w:color w:val="FF0000"/>
          <w:sz w:val="44"/>
          <w:szCs w:val="44"/>
          <w:highlight w:val="none"/>
        </w:rPr>
      </w:pPr>
    </w:p>
    <w:p>
      <w:pPr>
        <w:rPr>
          <w:rFonts w:ascii="宋体" w:hAnsi="宋体"/>
          <w:b/>
          <w:bCs/>
          <w:color w:val="FF0000"/>
          <w:sz w:val="44"/>
          <w:szCs w:val="44"/>
          <w:highlight w:val="none"/>
        </w:rPr>
      </w:pPr>
    </w:p>
    <w:p>
      <w:pPr>
        <w:rPr>
          <w:rFonts w:ascii="宋体" w:hAnsi="宋体"/>
          <w:b/>
          <w:bCs/>
          <w:color w:val="FF0000"/>
          <w:sz w:val="44"/>
          <w:szCs w:val="44"/>
          <w:highlight w:val="none"/>
        </w:rPr>
      </w:pPr>
    </w:p>
    <w:p>
      <w:pPr>
        <w:tabs>
          <w:tab w:val="left" w:pos="1779"/>
        </w:tabs>
        <w:jc w:val="both"/>
        <w:rPr>
          <w:rFonts w:hint="eastAsia" w:ascii="宋体" w:hAnsi="宋体"/>
          <w:b/>
          <w:bCs/>
          <w:color w:val="FF0000"/>
          <w:sz w:val="36"/>
          <w:szCs w:val="36"/>
          <w:highlight w:val="none"/>
        </w:rPr>
      </w:pPr>
    </w:p>
    <w:p>
      <w:pPr>
        <w:tabs>
          <w:tab w:val="left" w:pos="1779"/>
        </w:tabs>
        <w:jc w:val="both"/>
        <w:rPr>
          <w:rFonts w:hint="eastAsia" w:ascii="宋体" w:hAnsi="宋体"/>
          <w:b/>
          <w:bCs/>
          <w:color w:val="FF0000"/>
          <w:sz w:val="36"/>
          <w:szCs w:val="36"/>
          <w:highlight w:val="none"/>
        </w:rPr>
      </w:pPr>
    </w:p>
    <w:p>
      <w:pPr>
        <w:tabs>
          <w:tab w:val="left" w:pos="1779"/>
        </w:tabs>
        <w:jc w:val="both"/>
        <w:rPr>
          <w:rFonts w:hint="eastAsia" w:ascii="宋体" w:hAnsi="宋体"/>
          <w:b/>
          <w:bCs/>
          <w:color w:val="FF0000"/>
          <w:sz w:val="36"/>
          <w:szCs w:val="36"/>
          <w:highlight w:val="none"/>
        </w:rPr>
      </w:pPr>
    </w:p>
    <w:p>
      <w:pPr>
        <w:tabs>
          <w:tab w:val="left" w:pos="1779"/>
        </w:tabs>
        <w:jc w:val="both"/>
        <w:rPr>
          <w:rFonts w:hint="eastAsia" w:ascii="宋体" w:hAnsi="宋体"/>
          <w:b/>
          <w:bCs/>
          <w:color w:val="FF0000"/>
          <w:sz w:val="32"/>
          <w:szCs w:val="32"/>
          <w:highlight w:val="none"/>
          <w:lang w:eastAsia="zh-CN"/>
        </w:rPr>
      </w:pPr>
      <w:r>
        <w:rPr>
          <w:rFonts w:hint="eastAsia" w:ascii="宋体" w:hAnsi="宋体"/>
          <w:b/>
          <w:bCs/>
          <w:color w:val="FF0000"/>
          <w:sz w:val="32"/>
          <w:szCs w:val="32"/>
          <w:highlight w:val="none"/>
          <w:lang w:eastAsia="zh-CN"/>
        </w:rPr>
        <w:t>本合同由</w:t>
      </w:r>
    </w:p>
    <w:p>
      <w:pPr>
        <w:tabs>
          <w:tab w:val="left" w:pos="1779"/>
        </w:tabs>
        <w:jc w:val="both"/>
        <w:rPr>
          <w:rFonts w:hint="eastAsia" w:ascii="宋体" w:hAnsi="宋体" w:eastAsia="宋体"/>
          <w:b/>
          <w:bCs/>
          <w:color w:val="FF0000"/>
          <w:sz w:val="32"/>
          <w:szCs w:val="32"/>
          <w:highlight w:val="none"/>
          <w:lang w:eastAsia="zh-CN"/>
        </w:rPr>
      </w:pPr>
      <w:r>
        <w:rPr>
          <w:rFonts w:hint="eastAsia" w:ascii="宋体" w:hAnsi="宋体"/>
          <w:b/>
          <w:bCs/>
          <w:color w:val="FF0000"/>
          <w:sz w:val="32"/>
          <w:szCs w:val="32"/>
          <w:highlight w:val="none"/>
          <w:u w:val="single"/>
          <w:lang w:val="en-US" w:eastAsia="zh-CN"/>
        </w:rPr>
        <w:t xml:space="preserve">                              </w:t>
      </w:r>
      <w:r>
        <w:rPr>
          <w:rFonts w:hint="eastAsia" w:ascii="宋体" w:hAnsi="宋体"/>
          <w:b/>
          <w:bCs/>
          <w:color w:val="FF0000"/>
          <w:sz w:val="32"/>
          <w:szCs w:val="32"/>
          <w:highlight w:val="none"/>
          <w:lang w:eastAsia="zh-CN"/>
        </w:rPr>
        <w:t>与</w:t>
      </w:r>
    </w:p>
    <w:p>
      <w:pPr>
        <w:tabs>
          <w:tab w:val="left" w:pos="1779"/>
        </w:tabs>
        <w:jc w:val="both"/>
        <w:rPr>
          <w:rFonts w:hint="eastAsia" w:ascii="宋体" w:hAnsi="宋体"/>
          <w:b/>
          <w:bCs/>
          <w:color w:val="FF0000"/>
          <w:sz w:val="32"/>
          <w:szCs w:val="32"/>
          <w:highlight w:val="none"/>
          <w:lang w:eastAsia="zh-CN"/>
        </w:rPr>
      </w:pPr>
      <w:r>
        <w:rPr>
          <w:rFonts w:hint="eastAsia" w:ascii="宋体" w:hAnsi="宋体"/>
          <w:b/>
          <w:bCs/>
          <w:color w:val="FF0000"/>
          <w:sz w:val="32"/>
          <w:szCs w:val="32"/>
          <w:highlight w:val="none"/>
          <w:u w:val="single"/>
          <w:lang w:val="en-US" w:eastAsia="zh-CN"/>
        </w:rPr>
        <w:t xml:space="preserve">                              </w:t>
      </w:r>
      <w:r>
        <w:rPr>
          <w:rFonts w:hint="eastAsia" w:ascii="宋体" w:hAnsi="宋体"/>
          <w:b/>
          <w:bCs/>
          <w:color w:val="FF0000"/>
          <w:sz w:val="32"/>
          <w:szCs w:val="32"/>
          <w:highlight w:val="none"/>
          <w:lang w:eastAsia="zh-CN"/>
        </w:rPr>
        <w:t>签订</w:t>
      </w:r>
    </w:p>
    <w:p>
      <w:pPr>
        <w:jc w:val="center"/>
        <w:rPr>
          <w:rFonts w:hint="eastAsia" w:ascii="宋体" w:hAnsi="宋体"/>
          <w:b/>
          <w:bCs/>
          <w:color w:val="FF0000"/>
          <w:sz w:val="36"/>
          <w:szCs w:val="36"/>
          <w:highlight w:val="none"/>
        </w:rPr>
      </w:pPr>
    </w:p>
    <w:p>
      <w:pPr>
        <w:jc w:val="center"/>
        <w:rPr>
          <w:rFonts w:hint="eastAsia" w:ascii="宋体" w:hAnsi="宋体"/>
          <w:b/>
          <w:bCs/>
          <w:color w:val="FF0000"/>
          <w:sz w:val="36"/>
          <w:szCs w:val="36"/>
          <w:highlight w:val="none"/>
        </w:rPr>
      </w:pPr>
    </w:p>
    <w:p>
      <w:pPr>
        <w:jc w:val="center"/>
        <w:rPr>
          <w:rFonts w:hint="eastAsia" w:ascii="宋体" w:hAnsi="宋体"/>
          <w:b/>
          <w:bCs/>
          <w:color w:val="FF0000"/>
          <w:sz w:val="36"/>
          <w:szCs w:val="36"/>
          <w:highlight w:val="none"/>
        </w:rPr>
      </w:pPr>
    </w:p>
    <w:p>
      <w:pPr>
        <w:jc w:val="center"/>
        <w:rPr>
          <w:rFonts w:hint="eastAsia" w:ascii="宋体" w:hAnsi="宋体"/>
          <w:b/>
          <w:bCs/>
          <w:color w:val="FF0000"/>
          <w:sz w:val="36"/>
          <w:szCs w:val="36"/>
          <w:highlight w:val="none"/>
        </w:rPr>
      </w:pPr>
    </w:p>
    <w:p>
      <w:pPr>
        <w:jc w:val="center"/>
        <w:rPr>
          <w:rFonts w:hint="eastAsia" w:ascii="宋体" w:hAnsi="宋体"/>
          <w:b/>
          <w:bCs/>
          <w:color w:val="FF0000"/>
          <w:sz w:val="36"/>
          <w:szCs w:val="36"/>
          <w:highlight w:val="none"/>
        </w:rPr>
      </w:pPr>
    </w:p>
    <w:p>
      <w:pPr>
        <w:jc w:val="center"/>
        <w:rPr>
          <w:rFonts w:hint="eastAsia" w:ascii="宋体" w:hAnsi="宋体"/>
          <w:b/>
          <w:bCs/>
          <w:color w:val="FF0000"/>
          <w:sz w:val="36"/>
          <w:szCs w:val="36"/>
          <w:highlight w:val="none"/>
        </w:rPr>
      </w:pPr>
    </w:p>
    <w:p>
      <w:pPr>
        <w:jc w:val="center"/>
        <w:rPr>
          <w:rFonts w:ascii="宋体" w:hAnsi="宋体"/>
          <w:b/>
          <w:bCs/>
          <w:sz w:val="36"/>
          <w:szCs w:val="36"/>
          <w:highlight w:val="none"/>
        </w:rPr>
      </w:pPr>
      <w:r>
        <w:rPr>
          <w:rFonts w:hint="eastAsia" w:ascii="宋体" w:hAnsi="宋体"/>
          <w:b/>
          <w:bCs/>
          <w:sz w:val="36"/>
          <w:szCs w:val="36"/>
          <w:highlight w:val="none"/>
          <w:u w:val="single"/>
          <w:lang w:val="en-US" w:eastAsia="zh-CN"/>
        </w:rPr>
        <w:t xml:space="preserve">                </w:t>
      </w:r>
      <w:r>
        <w:rPr>
          <w:rFonts w:hint="eastAsia" w:ascii="宋体" w:hAnsi="宋体"/>
          <w:b/>
          <w:bCs/>
          <w:sz w:val="36"/>
          <w:szCs w:val="36"/>
          <w:highlight w:val="none"/>
        </w:rPr>
        <w:t>前期物业服务合同</w:t>
      </w:r>
    </w:p>
    <w:p>
      <w:pPr>
        <w:adjustRightInd w:val="0"/>
        <w:snapToGrid w:val="0"/>
        <w:spacing w:line="520" w:lineRule="exact"/>
        <w:ind w:firstLine="2409" w:firstLineChars="1000"/>
        <w:rPr>
          <w:rFonts w:ascii="宋体" w:hAnsi="宋体"/>
          <w:b/>
          <w:bCs/>
          <w:sz w:val="24"/>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eastAsia" w:ascii="宋体" w:hAnsi="宋体"/>
          <w:sz w:val="24"/>
          <w:highlight w:val="none"/>
        </w:rPr>
      </w:pPr>
      <w:r>
        <w:rPr>
          <w:rFonts w:hint="eastAsia" w:ascii="宋体" w:hAnsi="宋体"/>
          <w:sz w:val="24"/>
          <w:highlight w:val="none"/>
        </w:rPr>
        <w:t>本合同当事人</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eastAsia="宋体"/>
          <w:sz w:val="24"/>
          <w:highlight w:val="none"/>
          <w:lang w:val="en-US" w:eastAsia="zh-CN"/>
        </w:rPr>
      </w:pPr>
      <w:r>
        <w:rPr>
          <w:rFonts w:hint="eastAsia" w:ascii="宋体" w:hAnsi="宋体"/>
          <w:sz w:val="24"/>
          <w:highlight w:val="none"/>
        </w:rPr>
        <w:t>委托方（以下称甲方）：</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eastAsia="宋体"/>
          <w:sz w:val="24"/>
          <w:highlight w:val="none"/>
          <w:lang w:val="en-US" w:eastAsia="zh-CN"/>
        </w:rPr>
      </w:pPr>
      <w:r>
        <w:rPr>
          <w:rFonts w:hint="eastAsia" w:ascii="宋体" w:hAnsi="宋体"/>
          <w:sz w:val="24"/>
          <w:highlight w:val="none"/>
        </w:rPr>
        <w:t>法定代表人：</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eastAsia="宋体"/>
          <w:sz w:val="24"/>
          <w:highlight w:val="none"/>
          <w:lang w:val="en-US" w:eastAsia="zh-CN"/>
        </w:rPr>
      </w:pPr>
      <w:r>
        <w:rPr>
          <w:rFonts w:hint="eastAsia" w:ascii="宋体" w:hAnsi="宋体"/>
          <w:sz w:val="24"/>
          <w:highlight w:val="none"/>
        </w:rPr>
        <w:t>地址：</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eastAsia="宋体"/>
          <w:sz w:val="24"/>
          <w:highlight w:val="none"/>
          <w:lang w:val="en-US" w:eastAsia="zh-CN"/>
        </w:rPr>
      </w:pPr>
      <w:r>
        <w:rPr>
          <w:rFonts w:hint="eastAsia" w:ascii="宋体" w:hAnsi="宋体"/>
          <w:sz w:val="24"/>
          <w:highlight w:val="none"/>
        </w:rPr>
        <w:t>电话：</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eastAsia="宋体"/>
          <w:sz w:val="24"/>
          <w:highlight w:val="none"/>
          <w:lang w:val="en-US" w:eastAsia="zh-CN"/>
        </w:rPr>
      </w:pPr>
      <w:r>
        <w:rPr>
          <w:rFonts w:hint="eastAsia" w:ascii="宋体" w:hAnsi="宋体"/>
          <w:sz w:val="24"/>
          <w:highlight w:val="none"/>
        </w:rPr>
        <w:t>受托方（以下称乙方）：</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sz w:val="24"/>
          <w:highlight w:val="none"/>
          <w:lang w:val="en-US" w:eastAsia="zh-CN"/>
        </w:rPr>
      </w:pPr>
      <w:r>
        <w:rPr>
          <w:rFonts w:hint="eastAsia" w:ascii="宋体" w:hAnsi="宋体"/>
          <w:sz w:val="24"/>
          <w:highlight w:val="none"/>
        </w:rPr>
        <w:t>法定代表人：</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sz w:val="24"/>
          <w:highlight w:val="none"/>
          <w:lang w:val="en-US" w:eastAsia="zh-CN"/>
        </w:rPr>
      </w:pPr>
      <w:r>
        <w:rPr>
          <w:rFonts w:hint="eastAsia" w:ascii="宋体" w:hAnsi="宋体"/>
          <w:sz w:val="24"/>
          <w:highlight w:val="none"/>
        </w:rPr>
        <w:t>地址：</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470" w:firstLineChars="196"/>
        <w:textAlignment w:val="auto"/>
        <w:rPr>
          <w:rFonts w:hint="default" w:ascii="宋体" w:hAnsi="宋体"/>
          <w:sz w:val="24"/>
          <w:highlight w:val="none"/>
          <w:lang w:val="en-US" w:eastAsia="zh-CN"/>
        </w:rPr>
      </w:pPr>
      <w:r>
        <w:rPr>
          <w:rFonts w:hint="eastAsia" w:ascii="宋体" w:hAnsi="宋体"/>
          <w:sz w:val="24"/>
          <w:highlight w:val="none"/>
        </w:rPr>
        <w:t>电话：</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 xml:space="preserve">根据我国有关法律、法规，并通过招投标程序双方在自愿、平等、协商一致的基础上，甲方通过招投标方式选聘乙方为 </w:t>
      </w:r>
      <w:r>
        <w:rPr>
          <w:rFonts w:hint="eastAsia" w:ascii="宋体" w:hAnsi="宋体"/>
          <w:sz w:val="24"/>
          <w:highlight w:val="none"/>
          <w:lang w:eastAsia="zh-CN"/>
        </w:rPr>
        <w:t>（</w:t>
      </w:r>
      <w:r>
        <w:rPr>
          <w:rFonts w:hint="eastAsia" w:ascii="宋体" w:hAnsi="宋体"/>
          <w:sz w:val="24"/>
          <w:highlight w:val="none"/>
          <w:lang w:val="en-US" w:eastAsia="zh-CN"/>
        </w:rPr>
        <w:t>项目名称</w:t>
      </w:r>
      <w:r>
        <w:rPr>
          <w:rFonts w:hint="eastAsia" w:ascii="宋体" w:hAnsi="宋体"/>
          <w:sz w:val="24"/>
          <w:highlight w:val="none"/>
          <w:lang w:eastAsia="zh-CN"/>
        </w:rPr>
        <w:t>）</w:t>
      </w:r>
      <w:r>
        <w:rPr>
          <w:rFonts w:hint="eastAsia" w:ascii="宋体" w:hAnsi="宋体"/>
          <w:sz w:val="24"/>
          <w:highlight w:val="none"/>
        </w:rPr>
        <w:t>（以下简称“本物业”）提供物业服务，并订立本合同。</w:t>
      </w:r>
    </w:p>
    <w:p>
      <w:pPr>
        <w:spacing w:line="440" w:lineRule="exact"/>
        <w:jc w:val="left"/>
        <w:rPr>
          <w:rFonts w:hint="eastAsia" w:ascii="宋体" w:hAnsi="宋体"/>
          <w:sz w:val="24"/>
          <w:highlight w:val="none"/>
        </w:rPr>
      </w:pPr>
    </w:p>
    <w:p>
      <w:pPr>
        <w:numPr>
          <w:ilvl w:val="0"/>
          <w:numId w:val="0"/>
        </w:numPr>
        <w:adjustRightInd w:val="0"/>
        <w:snapToGrid w:val="0"/>
        <w:spacing w:line="520" w:lineRule="exact"/>
        <w:jc w:val="center"/>
        <w:rPr>
          <w:rFonts w:ascii="宋体" w:hAnsi="宋体"/>
          <w:b/>
          <w:sz w:val="24"/>
          <w:highlight w:val="none"/>
        </w:rPr>
      </w:pPr>
      <w:r>
        <w:rPr>
          <w:rFonts w:hint="eastAsia" w:ascii="宋体" w:hAnsi="宋体"/>
          <w:b/>
          <w:sz w:val="30"/>
          <w:szCs w:val="30"/>
          <w:highlight w:val="none"/>
          <w:lang w:val="en-US" w:eastAsia="zh-CN"/>
        </w:rPr>
        <w:t xml:space="preserve">第一章  </w:t>
      </w:r>
      <w:r>
        <w:rPr>
          <w:rFonts w:hint="eastAsia" w:ascii="宋体" w:hAnsi="宋体"/>
          <w:b/>
          <w:sz w:val="30"/>
          <w:szCs w:val="30"/>
          <w:highlight w:val="none"/>
        </w:rPr>
        <w:t>物业基本情况</w:t>
      </w:r>
    </w:p>
    <w:p>
      <w:pPr>
        <w:adjustRightInd w:val="0"/>
        <w:snapToGrid w:val="0"/>
        <w:spacing w:line="520" w:lineRule="exact"/>
        <w:ind w:left="482"/>
        <w:rPr>
          <w:rFonts w:hint="eastAsia" w:ascii="宋体" w:hAnsi="宋体"/>
          <w:b/>
          <w:sz w:val="24"/>
          <w:highlight w:val="none"/>
        </w:rPr>
      </w:pPr>
      <w:r>
        <w:rPr>
          <w:rFonts w:hint="eastAsia" w:ascii="宋体" w:hAnsi="宋体"/>
          <w:b/>
          <w:sz w:val="24"/>
          <w:highlight w:val="none"/>
        </w:rPr>
        <w:t>第一条  物业基本情况</w:t>
      </w:r>
    </w:p>
    <w:p>
      <w:pPr>
        <w:adjustRightInd w:val="0"/>
        <w:snapToGrid w:val="0"/>
        <w:spacing w:line="520" w:lineRule="exact"/>
        <w:ind w:left="482"/>
        <w:rPr>
          <w:rFonts w:hint="eastAsia" w:ascii="宋体" w:hAnsi="宋体" w:eastAsia="宋体" w:cs="Times New Roman"/>
          <w:sz w:val="24"/>
          <w:highlight w:val="none"/>
          <w:lang w:eastAsia="zh-CN"/>
        </w:rPr>
      </w:pPr>
      <w:r>
        <w:rPr>
          <w:rFonts w:hint="eastAsia" w:ascii="宋体" w:hAnsi="宋体"/>
          <w:sz w:val="24"/>
          <w:highlight w:val="none"/>
        </w:rPr>
        <w:t>物</w:t>
      </w:r>
      <w:r>
        <w:rPr>
          <w:rFonts w:hint="eastAsia" w:ascii="宋体" w:hAnsi="宋体" w:eastAsia="宋体" w:cs="Times New Roman"/>
          <w:sz w:val="24"/>
          <w:highlight w:val="none"/>
        </w:rPr>
        <w:t>业名称：</w:t>
      </w:r>
    </w:p>
    <w:p>
      <w:pPr>
        <w:adjustRightInd w:val="0"/>
        <w:snapToGrid w:val="0"/>
        <w:spacing w:line="520" w:lineRule="exact"/>
        <w:ind w:firstLine="480" w:firstLineChars="200"/>
        <w:jc w:val="left"/>
        <w:rPr>
          <w:rFonts w:ascii="宋体" w:hAnsi="宋体"/>
          <w:sz w:val="24"/>
          <w:highlight w:val="none"/>
        </w:rPr>
      </w:pPr>
      <w:r>
        <w:rPr>
          <w:rFonts w:hint="eastAsia" w:ascii="宋体" w:hAnsi="宋体"/>
          <w:sz w:val="24"/>
          <w:highlight w:val="none"/>
        </w:rPr>
        <w:t>物业类型：</w:t>
      </w:r>
    </w:p>
    <w:p>
      <w:pPr>
        <w:adjustRightInd w:val="0"/>
        <w:snapToGrid w:val="0"/>
        <w:spacing w:line="52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物业坐落位置：</w:t>
      </w:r>
    </w:p>
    <w:p>
      <w:pPr>
        <w:adjustRightInd w:val="0"/>
        <w:snapToGrid w:val="0"/>
        <w:spacing w:line="52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本项目</w:t>
      </w:r>
      <w:r>
        <w:rPr>
          <w:rFonts w:hint="eastAsia" w:ascii="宋体" w:hAnsi="宋体" w:eastAsia="宋体" w:cs="Times New Roman"/>
          <w:sz w:val="24"/>
          <w:highlight w:val="none"/>
          <w:lang w:eastAsia="zh-CN"/>
        </w:rPr>
        <w:t>建设用地面积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，总建</w:t>
      </w:r>
      <w:r>
        <w:rPr>
          <w:rFonts w:hint="eastAsia" w:ascii="宋体" w:hAnsi="宋体" w:eastAsia="宋体" w:cs="Times New Roman"/>
          <w:sz w:val="24"/>
          <w:highlight w:val="none"/>
          <w:lang w:eastAsia="zh-CN"/>
        </w:rPr>
        <w:t>筑面积</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㎡，地上</w:t>
      </w:r>
      <w:r>
        <w:rPr>
          <w:rFonts w:hint="eastAsia" w:ascii="宋体" w:hAnsi="宋体" w:eastAsia="宋体" w:cs="Times New Roman"/>
          <w:sz w:val="24"/>
          <w:highlight w:val="none"/>
          <w:lang w:eastAsia="zh-CN"/>
        </w:rPr>
        <w:t>总</w:t>
      </w:r>
      <w:r>
        <w:rPr>
          <w:rFonts w:hint="eastAsia" w:ascii="宋体" w:hAnsi="宋体" w:eastAsia="宋体" w:cs="Times New Roman"/>
          <w:sz w:val="24"/>
          <w:highlight w:val="none"/>
        </w:rPr>
        <w:t>建筑面积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，其中住宅面积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、商业面积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架空层面积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；地下</w:t>
      </w:r>
      <w:r>
        <w:rPr>
          <w:rFonts w:hint="eastAsia" w:ascii="宋体" w:hAnsi="宋体" w:eastAsia="宋体" w:cs="Times New Roman"/>
          <w:sz w:val="24"/>
          <w:highlight w:val="none"/>
          <w:lang w:eastAsia="zh-CN"/>
        </w:rPr>
        <w:t>总</w:t>
      </w:r>
      <w:r>
        <w:rPr>
          <w:rFonts w:hint="eastAsia" w:ascii="宋体" w:hAnsi="宋体" w:eastAsia="宋体" w:cs="Times New Roman"/>
          <w:sz w:val="24"/>
          <w:highlight w:val="none"/>
        </w:rPr>
        <w:t>建筑面积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（含人防面积</w:t>
      </w:r>
      <w:r>
        <w:rPr>
          <w:rFonts w:hint="eastAsia" w:ascii="宋体" w:hAnsi="宋体" w:cs="Times New Roman"/>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Times New Roman"/>
          <w:sz w:val="24"/>
          <w:highlight w:val="none"/>
        </w:rPr>
        <w:t>）。本项目由高层和小高层共</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 xml:space="preserve">幢住宅组成，其中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号楼</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层、</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楼</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rPr>
        <w:t>层，</w:t>
      </w:r>
      <w:r>
        <w:rPr>
          <w:rFonts w:hint="eastAsia" w:ascii="宋体" w:hAnsi="宋体" w:eastAsia="宋体" w:cs="Times New Roman"/>
          <w:sz w:val="24"/>
          <w:highlight w:val="none"/>
          <w:lang w:eastAsia="zh-CN"/>
        </w:rPr>
        <w:t>裙房</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层，地下</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层。建筑高度≤100米。</w:t>
      </w:r>
      <w:r>
        <w:rPr>
          <w:rFonts w:hint="eastAsia" w:ascii="宋体" w:hAnsi="宋体" w:eastAsia="宋体" w:cs="Times New Roman"/>
          <w:sz w:val="24"/>
          <w:highlight w:val="none"/>
        </w:rPr>
        <w:t>结构类型为框剪。</w:t>
      </w:r>
    </w:p>
    <w:p>
      <w:pPr>
        <w:pStyle w:val="7"/>
        <w:adjustRightInd w:val="0"/>
        <w:snapToGrid w:val="0"/>
        <w:spacing w:line="520" w:lineRule="exact"/>
        <w:ind w:firstLine="482" w:firstLineChars="200"/>
        <w:rPr>
          <w:rFonts w:ascii="宋体" w:hAnsi="宋体"/>
          <w:sz w:val="24"/>
          <w:szCs w:val="24"/>
          <w:highlight w:val="none"/>
        </w:rPr>
      </w:pPr>
      <w:r>
        <w:rPr>
          <w:rFonts w:hint="eastAsia" w:ascii="宋体" w:hAnsi="宋体"/>
          <w:b/>
          <w:sz w:val="24"/>
          <w:szCs w:val="24"/>
          <w:highlight w:val="none"/>
        </w:rPr>
        <w:t>第二条</w:t>
      </w:r>
      <w:r>
        <w:rPr>
          <w:rFonts w:hint="eastAsia" w:ascii="宋体" w:hAnsi="宋体"/>
          <w:sz w:val="24"/>
          <w:szCs w:val="24"/>
          <w:highlight w:val="none"/>
        </w:rPr>
        <w:t xml:space="preserve">  前期物业服务是指：在业主、业主大会选聘物业服务企业之前，由建设单位通过招投标方式选聘物业服务企业实施的物业服务与管理。</w:t>
      </w:r>
    </w:p>
    <w:p>
      <w:pPr>
        <w:adjustRightInd w:val="0"/>
        <w:snapToGrid w:val="0"/>
        <w:spacing w:line="520" w:lineRule="exact"/>
        <w:ind w:firstLine="472" w:firstLineChars="196"/>
        <w:rPr>
          <w:rFonts w:ascii="宋体" w:hAnsi="宋体"/>
          <w:sz w:val="24"/>
          <w:highlight w:val="none"/>
        </w:rPr>
      </w:pPr>
      <w:r>
        <w:rPr>
          <w:rFonts w:hint="eastAsia" w:ascii="宋体" w:hAnsi="宋体"/>
          <w:b/>
          <w:bCs/>
          <w:sz w:val="24"/>
          <w:highlight w:val="none"/>
        </w:rPr>
        <w:t>第三条</w:t>
      </w:r>
      <w:r>
        <w:rPr>
          <w:rFonts w:hint="eastAsia" w:ascii="宋体" w:hAnsi="宋体"/>
          <w:sz w:val="24"/>
          <w:highlight w:val="none"/>
        </w:rPr>
        <w:t xml:space="preserve">  乙方为本物业管理区域内全体业主和使用人提供服务，本物业管理区域内物业的全体业主和使用人均应履行本合同，承担相应的责任。</w:t>
      </w:r>
    </w:p>
    <w:p>
      <w:pPr>
        <w:adjustRightInd w:val="0"/>
        <w:snapToGrid w:val="0"/>
        <w:spacing w:line="520" w:lineRule="exact"/>
        <w:jc w:val="center"/>
        <w:rPr>
          <w:rFonts w:ascii="宋体" w:hAnsi="宋体"/>
          <w:b/>
          <w:bCs/>
          <w:sz w:val="30"/>
          <w:szCs w:val="30"/>
          <w:highlight w:val="none"/>
        </w:rPr>
      </w:pPr>
    </w:p>
    <w:p>
      <w:pPr>
        <w:adjustRightInd w:val="0"/>
        <w:snapToGrid w:val="0"/>
        <w:spacing w:line="360" w:lineRule="auto"/>
        <w:jc w:val="center"/>
        <w:rPr>
          <w:rFonts w:ascii="宋体" w:hAnsi="宋体"/>
          <w:b/>
          <w:bCs/>
          <w:sz w:val="30"/>
          <w:szCs w:val="30"/>
          <w:highlight w:val="none"/>
        </w:rPr>
      </w:pPr>
      <w:r>
        <w:rPr>
          <w:rFonts w:hint="eastAsia" w:ascii="宋体" w:hAnsi="宋体"/>
          <w:b/>
          <w:bCs/>
          <w:sz w:val="30"/>
          <w:szCs w:val="30"/>
          <w:highlight w:val="none"/>
        </w:rPr>
        <w:t xml:space="preserve">第二章 </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前期物业服务内容</w:t>
      </w:r>
    </w:p>
    <w:p>
      <w:pPr>
        <w:adjustRightInd w:val="0"/>
        <w:snapToGrid w:val="0"/>
        <w:spacing w:line="360" w:lineRule="auto"/>
        <w:ind w:firstLine="518" w:firstLineChars="215"/>
        <w:rPr>
          <w:rFonts w:ascii="宋体" w:hAnsi="宋体"/>
          <w:sz w:val="24"/>
          <w:highlight w:val="none"/>
        </w:rPr>
      </w:pPr>
      <w:r>
        <w:rPr>
          <w:rFonts w:hint="eastAsia" w:ascii="宋体" w:hAnsi="宋体"/>
          <w:b/>
          <w:bCs/>
          <w:sz w:val="24"/>
          <w:highlight w:val="none"/>
        </w:rPr>
        <w:t>第四条</w:t>
      </w:r>
      <w:r>
        <w:rPr>
          <w:rFonts w:hint="eastAsia" w:ascii="宋体" w:hAnsi="宋体"/>
          <w:sz w:val="24"/>
          <w:highlight w:val="none"/>
        </w:rPr>
        <w:t xml:space="preserve">  在物业管理区域内，乙方提供的物业服务包括以下内容：</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1、物业共用部位的维修、养护和管理，但根据《</w:t>
      </w:r>
      <w:r>
        <w:rPr>
          <w:rFonts w:hint="eastAsia" w:ascii="宋体" w:hAnsi="宋体"/>
          <w:sz w:val="24"/>
          <w:highlight w:val="none"/>
          <w:lang w:val="en-US" w:eastAsia="zh-CN"/>
        </w:rPr>
        <w:t>房屋</w:t>
      </w:r>
      <w:r>
        <w:rPr>
          <w:rFonts w:hint="eastAsia" w:ascii="宋体" w:hAnsi="宋体"/>
          <w:sz w:val="24"/>
          <w:highlight w:val="none"/>
        </w:rPr>
        <w:t>买卖合同》或其他合同的约定，相关业主对物业的共用部位或公共部位享有</w:t>
      </w:r>
      <w:r>
        <w:rPr>
          <w:rFonts w:hint="eastAsia" w:ascii="宋体" w:hAnsi="宋体"/>
          <w:bCs/>
          <w:sz w:val="24"/>
          <w:highlight w:val="none"/>
        </w:rPr>
        <w:t>专有或独占使用权的，由相关业主负责该等部位的</w:t>
      </w:r>
      <w:r>
        <w:rPr>
          <w:rFonts w:hint="eastAsia" w:ascii="宋体" w:hAnsi="宋体"/>
          <w:sz w:val="24"/>
          <w:highlight w:val="none"/>
        </w:rPr>
        <w:t>维修、养护、管理及清洁卫生，并</w:t>
      </w:r>
      <w:r>
        <w:rPr>
          <w:rFonts w:hint="eastAsia" w:ascii="宋体" w:hAnsi="宋体"/>
          <w:bCs/>
          <w:sz w:val="24"/>
          <w:highlight w:val="none"/>
        </w:rPr>
        <w:t>承担费用的除外。</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2、物业共用设施设备的运行、维修、养护和管理，但根据法律规定或相关合同约定乙方不需承担义务的设施设备或根据相关合同约定由专业单位维修、养护的设施设备（如电梯等）除外。</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3、物业共用部位、道路和相关场地的清洁卫生，垃圾的收集、清运及雨、污水管道的疏通。</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4、业主共有的公共绿化的养护和管理。</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5、车辆停放管理。</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6、公共秩序维护、安全防范等事项的协助管理。</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7、装饰装修管理服务</w:t>
      </w:r>
      <w:r>
        <w:rPr>
          <w:rFonts w:hint="eastAsia" w:ascii="宋体" w:hAnsi="宋体"/>
          <w:sz w:val="24"/>
          <w:highlight w:val="none"/>
          <w:shd w:val="clear" w:color="auto" w:fill="auto"/>
          <w:lang w:eastAsia="zh-CN"/>
        </w:rPr>
        <w:t>（</w:t>
      </w:r>
      <w:r>
        <w:rPr>
          <w:rFonts w:hint="eastAsia" w:ascii="宋体" w:hAnsi="宋体"/>
          <w:sz w:val="24"/>
          <w:highlight w:val="none"/>
          <w:shd w:val="clear" w:color="auto" w:fill="auto"/>
          <w:lang w:val="en-US" w:eastAsia="zh-CN"/>
        </w:rPr>
        <w:t>房屋外立面完整</w:t>
      </w:r>
      <w:r>
        <w:rPr>
          <w:rFonts w:hint="eastAsia" w:ascii="宋体" w:hAnsi="宋体"/>
          <w:sz w:val="24"/>
          <w:highlight w:val="none"/>
          <w:shd w:val="clear" w:color="auto" w:fill="auto"/>
          <w:lang w:eastAsia="zh-CN"/>
        </w:rPr>
        <w:t>）</w:t>
      </w:r>
      <w:r>
        <w:rPr>
          <w:rFonts w:hint="eastAsia" w:ascii="宋体" w:hAnsi="宋体"/>
          <w:sz w:val="24"/>
          <w:highlight w:val="none"/>
        </w:rPr>
        <w:t>。</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8、物业维修、更新费用的账目管理和物业档案资料管理。</w:t>
      </w:r>
    </w:p>
    <w:p>
      <w:pPr>
        <w:adjustRightInd w:val="0"/>
        <w:snapToGrid w:val="0"/>
        <w:spacing w:line="360" w:lineRule="auto"/>
        <w:ind w:firstLine="516" w:firstLineChars="215"/>
        <w:rPr>
          <w:rFonts w:ascii="宋体" w:hAnsi="宋体"/>
          <w:sz w:val="24"/>
          <w:highlight w:val="none"/>
        </w:rPr>
      </w:pPr>
      <w:r>
        <w:rPr>
          <w:rFonts w:hint="eastAsia" w:ascii="宋体" w:hAnsi="宋体"/>
          <w:sz w:val="24"/>
          <w:highlight w:val="none"/>
        </w:rPr>
        <w:t>9、法律</w:t>
      </w:r>
      <w:r>
        <w:rPr>
          <w:rFonts w:hint="eastAsia" w:ascii="宋体" w:hAnsi="宋体"/>
          <w:sz w:val="24"/>
          <w:highlight w:val="none"/>
          <w:lang w:eastAsia="zh-CN"/>
        </w:rPr>
        <w:t>、</w:t>
      </w:r>
      <w:r>
        <w:rPr>
          <w:rFonts w:hint="eastAsia" w:ascii="宋体" w:hAnsi="宋体"/>
          <w:sz w:val="24"/>
          <w:highlight w:val="none"/>
        </w:rPr>
        <w:t>法规</w:t>
      </w:r>
      <w:r>
        <w:rPr>
          <w:rFonts w:hint="eastAsia" w:ascii="宋体" w:hAnsi="宋体"/>
          <w:sz w:val="24"/>
          <w:highlight w:val="none"/>
          <w:lang w:eastAsia="zh-CN"/>
        </w:rPr>
        <w:t>、规章及其他规范性文件</w:t>
      </w:r>
      <w:r>
        <w:rPr>
          <w:rFonts w:hint="eastAsia" w:ascii="宋体" w:hAnsi="宋体"/>
          <w:sz w:val="24"/>
          <w:highlight w:val="none"/>
        </w:rPr>
        <w:t>规定的其他内容。</w:t>
      </w:r>
    </w:p>
    <w:p>
      <w:pPr>
        <w:adjustRightInd w:val="0"/>
        <w:snapToGrid w:val="0"/>
        <w:spacing w:line="360" w:lineRule="auto"/>
        <w:ind w:firstLine="518" w:firstLineChars="215"/>
        <w:rPr>
          <w:rFonts w:hint="eastAsia" w:ascii="宋体" w:hAnsi="宋体"/>
          <w:sz w:val="24"/>
          <w:highlight w:val="none"/>
        </w:rPr>
      </w:pPr>
      <w:r>
        <w:rPr>
          <w:rFonts w:hint="eastAsia" w:ascii="宋体" w:hAnsi="宋体"/>
          <w:b/>
          <w:sz w:val="24"/>
          <w:highlight w:val="none"/>
        </w:rPr>
        <w:t xml:space="preserve">第五条  </w:t>
      </w:r>
      <w:r>
        <w:rPr>
          <w:rFonts w:hint="eastAsia" w:ascii="宋体" w:hAnsi="宋体"/>
          <w:sz w:val="24"/>
          <w:highlight w:val="none"/>
        </w:rPr>
        <w:t>乙方提供的第四条中所述物业管理服务应达到约定的质量标准（物业管理服务质量标准见附件一）：</w:t>
      </w:r>
    </w:p>
    <w:p>
      <w:pPr>
        <w:adjustRightInd w:val="0"/>
        <w:snapToGrid w:val="0"/>
        <w:spacing w:line="360" w:lineRule="auto"/>
        <w:ind w:firstLine="518" w:firstLineChars="215"/>
        <w:rPr>
          <w:rFonts w:ascii="宋体" w:hAnsi="宋体"/>
          <w:sz w:val="24"/>
          <w:highlight w:val="none"/>
        </w:rPr>
      </w:pPr>
      <w:r>
        <w:rPr>
          <w:rFonts w:hint="eastAsia" w:ascii="宋体" w:hAnsi="宋体"/>
          <w:b/>
          <w:sz w:val="24"/>
          <w:highlight w:val="none"/>
        </w:rPr>
        <w:t>第六条</w:t>
      </w:r>
      <w:r>
        <w:rPr>
          <w:rFonts w:hint="eastAsia" w:ascii="宋体" w:hAnsi="宋体"/>
          <w:sz w:val="24"/>
          <w:highlight w:val="none"/>
        </w:rPr>
        <w:t xml:space="preserve">  在业主委员会成立之前，乙方负责属于业主共有的物业管理商业用房，物业共用部位、共用设施设备，业主共有的场地及物业管理区域内配套设施的经营管理，经营管理收入的所有及使用等根据本合同的约定办理。</w:t>
      </w:r>
    </w:p>
    <w:p>
      <w:pPr>
        <w:adjustRightInd w:val="0"/>
        <w:snapToGrid w:val="0"/>
        <w:spacing w:line="360" w:lineRule="auto"/>
        <w:ind w:firstLine="518" w:firstLineChars="215"/>
        <w:rPr>
          <w:rFonts w:hint="eastAsia" w:ascii="宋体" w:hAnsi="宋体"/>
          <w:sz w:val="24"/>
          <w:highlight w:val="none"/>
        </w:rPr>
      </w:pPr>
      <w:r>
        <w:rPr>
          <w:rFonts w:hint="eastAsia" w:ascii="宋体" w:hAnsi="宋体"/>
          <w:b/>
          <w:sz w:val="24"/>
          <w:highlight w:val="none"/>
        </w:rPr>
        <w:t xml:space="preserve">第七条  </w:t>
      </w:r>
      <w:r>
        <w:rPr>
          <w:rFonts w:hint="eastAsia" w:ascii="宋体" w:hAnsi="宋体"/>
          <w:sz w:val="24"/>
          <w:highlight w:val="none"/>
        </w:rPr>
        <w:t>单个业主可委托乙方对其物业的专有部分提供维修养护等服务。乙方是否接受委托，以及服务内容和费用等相关事项由单个业主和乙方另行协商后确定。</w:t>
      </w:r>
    </w:p>
    <w:p>
      <w:pPr>
        <w:numPr>
          <w:ilvl w:val="0"/>
          <w:numId w:val="0"/>
        </w:numPr>
        <w:adjustRightInd w:val="0"/>
        <w:snapToGrid w:val="0"/>
        <w:spacing w:line="360" w:lineRule="auto"/>
        <w:ind w:leftChars="0"/>
        <w:jc w:val="center"/>
        <w:rPr>
          <w:rFonts w:ascii="宋体" w:hAnsi="宋体"/>
          <w:b/>
          <w:sz w:val="30"/>
          <w:szCs w:val="30"/>
          <w:highlight w:val="none"/>
        </w:rPr>
      </w:pPr>
      <w:r>
        <w:rPr>
          <w:rFonts w:hint="eastAsia" w:ascii="宋体" w:hAnsi="宋体"/>
          <w:b/>
          <w:bCs/>
          <w:sz w:val="30"/>
          <w:szCs w:val="30"/>
          <w:highlight w:val="none"/>
          <w:lang w:val="en-US" w:eastAsia="zh-CN"/>
        </w:rPr>
        <w:t xml:space="preserve">第三章  </w:t>
      </w:r>
      <w:r>
        <w:rPr>
          <w:rFonts w:hint="eastAsia" w:ascii="宋体" w:hAnsi="宋体"/>
          <w:b/>
          <w:bCs/>
          <w:sz w:val="30"/>
          <w:szCs w:val="30"/>
          <w:highlight w:val="none"/>
        </w:rPr>
        <w:t>前期物业服务期限</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第八条</w:t>
      </w:r>
      <w:r>
        <w:rPr>
          <w:rFonts w:hint="eastAsia" w:ascii="宋体" w:hAnsi="宋体"/>
          <w:sz w:val="24"/>
          <w:highlight w:val="none"/>
        </w:rPr>
        <w:t xml:space="preserve">  前期物业服务期限：自</w:t>
      </w:r>
      <w:r>
        <w:rPr>
          <w:rFonts w:hint="eastAsia" w:ascii="宋体" w:hAnsi="宋体"/>
          <w:sz w:val="24"/>
          <w:highlight w:val="none"/>
          <w:u w:val="single"/>
          <w:lang w:val="en-US" w:eastAsia="zh-CN"/>
        </w:rPr>
        <w:t>合同签订之日</w:t>
      </w:r>
      <w:r>
        <w:rPr>
          <w:rFonts w:hint="eastAsia" w:ascii="宋体" w:hAnsi="宋体"/>
          <w:sz w:val="24"/>
          <w:highlight w:val="none"/>
        </w:rPr>
        <w:t>起至第一届业主委员会成立并与选聘新的物业服务企业签订物业服务合同时为止。</w:t>
      </w:r>
    </w:p>
    <w:p>
      <w:pPr>
        <w:adjustRightInd w:val="0"/>
        <w:snapToGrid w:val="0"/>
        <w:spacing w:line="360" w:lineRule="auto"/>
        <w:rPr>
          <w:rFonts w:ascii="宋体" w:hAnsi="宋体"/>
          <w:sz w:val="24"/>
          <w:highlight w:val="none"/>
        </w:rPr>
      </w:pPr>
    </w:p>
    <w:p>
      <w:pPr>
        <w:numPr>
          <w:ilvl w:val="0"/>
          <w:numId w:val="0"/>
        </w:numPr>
        <w:adjustRightInd w:val="0"/>
        <w:snapToGrid w:val="0"/>
        <w:spacing w:line="360" w:lineRule="auto"/>
        <w:ind w:leftChars="0"/>
        <w:jc w:val="center"/>
        <w:rPr>
          <w:rFonts w:ascii="宋体" w:hAnsi="宋体"/>
          <w:b/>
          <w:sz w:val="30"/>
          <w:szCs w:val="30"/>
          <w:highlight w:val="none"/>
        </w:rPr>
      </w:pPr>
      <w:r>
        <w:rPr>
          <w:rFonts w:hint="eastAsia" w:ascii="宋体" w:hAnsi="宋体"/>
          <w:b/>
          <w:bCs/>
          <w:sz w:val="30"/>
          <w:szCs w:val="30"/>
          <w:highlight w:val="none"/>
          <w:lang w:val="en-US" w:eastAsia="zh-CN"/>
        </w:rPr>
        <w:t xml:space="preserve">第四章  </w:t>
      </w:r>
      <w:r>
        <w:rPr>
          <w:rFonts w:hint="eastAsia" w:ascii="宋体" w:hAnsi="宋体"/>
          <w:b/>
          <w:bCs/>
          <w:sz w:val="30"/>
          <w:szCs w:val="30"/>
          <w:highlight w:val="none"/>
        </w:rPr>
        <w:t>双方权利与义务</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第九条</w:t>
      </w:r>
      <w:r>
        <w:rPr>
          <w:rFonts w:hint="eastAsia" w:ascii="宋体" w:hAnsi="宋体"/>
          <w:sz w:val="24"/>
          <w:highlight w:val="none"/>
        </w:rPr>
        <w:t xml:space="preserve">  甲方权利与义务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1、与物业买受人签订物业买卖合同时，应包含本合同的主要内容，要求物业买受人承诺在本物业具备入住条件后承继本合同的相关权利、义务。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依据有关规定负责制定《临时管理规约》，在物业转让前将《临时管理规约》内容向物业买受人明示，并要求其遵守；协助乙方与物业买受人签订《前期物业服务协议》，在业主委员会成立之前，要求物业买受人共同遵守《前期物业服务协议》，在物业竣工交付使用时，负责向物业买受人提供房屋质量保证书和房屋使用说明书。</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3、审议乙方制定的前期物业管理实施方案。</w:t>
      </w:r>
    </w:p>
    <w:p>
      <w:pPr>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4、</w:t>
      </w:r>
      <w:r>
        <w:rPr>
          <w:rFonts w:hint="eastAsia" w:ascii="宋体" w:hAnsi="宋体" w:eastAsia="宋体" w:cs="Times New Roman"/>
          <w:sz w:val="24"/>
          <w:highlight w:val="none"/>
        </w:rPr>
        <w:t>房屋共用部位、共用设施、设备、公共场地维修、养护费用：</w:t>
      </w:r>
    </w:p>
    <w:p>
      <w:pPr>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1</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保修期内属保修范围内的房屋共用部位、共用设施设备、公共场地的维修工作在工程竣工验收后，甲乙双方及</w:t>
      </w:r>
      <w:r>
        <w:rPr>
          <w:rFonts w:hint="eastAsia" w:ascii="宋体" w:hAnsi="宋体" w:eastAsia="宋体" w:cs="Times New Roman"/>
          <w:sz w:val="24"/>
          <w:highlight w:val="none"/>
          <w:u w:val="none"/>
        </w:rPr>
        <w:t>施工单位</w:t>
      </w:r>
      <w:r>
        <w:rPr>
          <w:rFonts w:hint="eastAsia" w:ascii="宋体" w:hAnsi="宋体" w:eastAsia="宋体" w:cs="Times New Roman"/>
          <w:sz w:val="24"/>
          <w:highlight w:val="none"/>
        </w:rPr>
        <w:t>三方共同签订保修协议，明确保修期间维修及养护费用由施工单位承担，乙方负责检查及督促落实，甲方进行监督；</w:t>
      </w:r>
    </w:p>
    <w:p>
      <w:pPr>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保修期满后，本物业共用部位、共用设施设备的大修、中修、更新、改造费用，按规定在物业专项维修基金或社区经济收益中列支，不足部分按规定续筹。</w:t>
      </w:r>
    </w:p>
    <w:p>
      <w:pPr>
        <w:adjustRightInd w:val="0"/>
        <w:snapToGrid w:val="0"/>
        <w:spacing w:line="360" w:lineRule="auto"/>
        <w:ind w:firstLine="480" w:firstLineChars="200"/>
        <w:rPr>
          <w:rFonts w:hint="eastAsia" w:ascii="宋体" w:hAnsi="宋体"/>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不属于保修范围内的房屋共用部位、共用设施设备的维修、养护费用，由业主按</w:t>
      </w:r>
      <w:r>
        <w:rPr>
          <w:rFonts w:hint="eastAsia" w:ascii="宋体" w:hAnsi="宋体" w:eastAsia="宋体" w:cs="Times New Roman"/>
          <w:sz w:val="24"/>
          <w:szCs w:val="24"/>
          <w:highlight w:val="none"/>
        </w:rPr>
        <w:t>其拥有的房屋建筑面积在总建筑面积中的比例共同承担。</w:t>
      </w:r>
    </w:p>
    <w:p>
      <w:pPr>
        <w:adjustRightInd w:val="0"/>
        <w:snapToGrid w:val="0"/>
        <w:spacing w:line="360" w:lineRule="auto"/>
        <w:ind w:firstLine="480" w:firstLineChars="200"/>
        <w:rPr>
          <w:rFonts w:ascii="宋体" w:hAnsi="宋体"/>
          <w:strike w:val="0"/>
          <w:sz w:val="24"/>
          <w:highlight w:val="none"/>
        </w:rPr>
      </w:pPr>
      <w:r>
        <w:rPr>
          <w:rFonts w:hint="eastAsia" w:ascii="宋体" w:hAnsi="宋体"/>
          <w:strike w:val="0"/>
          <w:sz w:val="24"/>
          <w:highlight w:val="none"/>
          <w:lang w:eastAsia="zh-CN"/>
        </w:rPr>
        <w:t>（</w:t>
      </w:r>
      <w:r>
        <w:rPr>
          <w:rFonts w:hint="eastAsia" w:ascii="宋体" w:hAnsi="宋体"/>
          <w:strike w:val="0"/>
          <w:sz w:val="24"/>
          <w:highlight w:val="none"/>
          <w:lang w:val="en-US" w:eastAsia="zh-CN"/>
        </w:rPr>
        <w:t>4</w:t>
      </w:r>
      <w:r>
        <w:rPr>
          <w:rFonts w:hint="eastAsia" w:ascii="宋体" w:hAnsi="宋体"/>
          <w:strike w:val="0"/>
          <w:sz w:val="24"/>
          <w:highlight w:val="none"/>
          <w:lang w:eastAsia="zh-CN"/>
        </w:rPr>
        <w:t>）</w:t>
      </w:r>
      <w:r>
        <w:rPr>
          <w:rFonts w:hint="eastAsia" w:ascii="宋体" w:hAnsi="宋体"/>
          <w:strike w:val="0"/>
          <w:sz w:val="24"/>
          <w:highlight w:val="none"/>
        </w:rPr>
        <w:t>承担保修期内由于设施设备质量问题产生的损失费用。</w:t>
      </w:r>
    </w:p>
    <w:p>
      <w:pPr>
        <w:adjustRightInd w:val="0"/>
        <w:snapToGrid w:val="0"/>
        <w:spacing w:line="360" w:lineRule="auto"/>
        <w:ind w:firstLine="480" w:firstLineChars="200"/>
        <w:rPr>
          <w:rFonts w:ascii="宋体" w:hAnsi="宋体"/>
          <w:strike w:val="0"/>
          <w:sz w:val="24"/>
          <w:highlight w:val="none"/>
        </w:rPr>
      </w:pPr>
      <w:r>
        <w:rPr>
          <w:rFonts w:hint="eastAsia" w:ascii="宋体" w:hAnsi="宋体"/>
          <w:strike w:val="0"/>
          <w:sz w:val="24"/>
          <w:highlight w:val="none"/>
        </w:rPr>
        <w:t>5、甲方移交给乙方管理的业主共有的房屋、设施、设备应达到政府有关部门制定的验收标准要求；在保修期内，如存在质量问题，按以下</w:t>
      </w:r>
      <w:r>
        <w:rPr>
          <w:rFonts w:hint="eastAsia" w:ascii="宋体" w:hAnsi="宋体"/>
          <w:strike w:val="0"/>
          <w:sz w:val="24"/>
          <w:highlight w:val="none"/>
          <w:u w:val="single"/>
          <w:lang w:val="en-US" w:eastAsia="zh-CN"/>
        </w:rPr>
        <w:t xml:space="preserve">      </w:t>
      </w:r>
      <w:r>
        <w:rPr>
          <w:rFonts w:hint="eastAsia" w:ascii="宋体" w:hAnsi="宋体"/>
          <w:strike w:val="0"/>
          <w:sz w:val="24"/>
          <w:highlight w:val="none"/>
        </w:rPr>
        <w:t>方式处理：</w:t>
      </w:r>
    </w:p>
    <w:p>
      <w:pPr>
        <w:adjustRightInd w:val="0"/>
        <w:snapToGrid w:val="0"/>
        <w:spacing w:line="360" w:lineRule="auto"/>
        <w:ind w:firstLine="480" w:firstLineChars="200"/>
        <w:rPr>
          <w:rFonts w:ascii="宋体" w:hAnsi="宋体"/>
          <w:strike w:val="0"/>
          <w:sz w:val="24"/>
          <w:highlight w:val="none"/>
        </w:rPr>
      </w:pPr>
      <w:r>
        <w:rPr>
          <w:rFonts w:hint="eastAsia" w:ascii="宋体" w:hAnsi="宋体"/>
          <w:strike w:val="0"/>
          <w:sz w:val="24"/>
          <w:highlight w:val="none"/>
        </w:rPr>
        <w:t>（1）甲方负责及时返修，且需保证质量；</w:t>
      </w:r>
    </w:p>
    <w:p>
      <w:pPr>
        <w:adjustRightInd w:val="0"/>
        <w:snapToGrid w:val="0"/>
        <w:spacing w:line="360" w:lineRule="auto"/>
        <w:ind w:firstLine="480" w:firstLineChars="200"/>
        <w:rPr>
          <w:rFonts w:ascii="宋体" w:hAnsi="宋体"/>
          <w:strike w:val="0"/>
          <w:sz w:val="24"/>
          <w:highlight w:val="none"/>
        </w:rPr>
      </w:pPr>
      <w:r>
        <w:rPr>
          <w:rFonts w:hint="eastAsia" w:ascii="宋体" w:hAnsi="宋体"/>
          <w:strike w:val="0"/>
          <w:sz w:val="24"/>
          <w:highlight w:val="none"/>
        </w:rPr>
        <w:t>（2）委托乙方返修，并支付全部费用。</w:t>
      </w:r>
    </w:p>
    <w:p>
      <w:pPr>
        <w:adjustRightInd w:val="0"/>
        <w:snapToGrid w:val="0"/>
        <w:spacing w:line="360" w:lineRule="auto"/>
        <w:ind w:firstLine="480" w:firstLineChars="200"/>
        <w:rPr>
          <w:rFonts w:ascii="宋体" w:hAnsi="宋体"/>
          <w:strike w:val="0"/>
          <w:sz w:val="24"/>
          <w:highlight w:val="none"/>
        </w:rPr>
      </w:pPr>
      <w:r>
        <w:rPr>
          <w:rFonts w:hint="eastAsia" w:ascii="宋体" w:hAnsi="宋体"/>
          <w:strike w:val="0"/>
          <w:sz w:val="24"/>
          <w:highlight w:val="none"/>
        </w:rPr>
        <w:t>业主共有的房屋、设施、设备的保修范围、保修期限按照《浙江省</w:t>
      </w:r>
      <w:r>
        <w:rPr>
          <w:rFonts w:hint="eastAsia" w:ascii="宋体" w:hAnsi="宋体"/>
          <w:strike w:val="0"/>
          <w:sz w:val="24"/>
          <w:highlight w:val="none"/>
          <w:lang w:val="en-US" w:eastAsia="zh-CN"/>
        </w:rPr>
        <w:t>住宅</w:t>
      </w:r>
      <w:r>
        <w:rPr>
          <w:rFonts w:hint="eastAsia" w:ascii="宋体" w:hAnsi="宋体"/>
          <w:strike w:val="0"/>
          <w:sz w:val="24"/>
          <w:highlight w:val="none"/>
        </w:rPr>
        <w:t>物业保修金管理办法》规定执行。</w:t>
      </w:r>
    </w:p>
    <w:p>
      <w:pPr>
        <w:adjustRightInd w:val="0"/>
        <w:snapToGrid w:val="0"/>
        <w:spacing w:line="360" w:lineRule="auto"/>
        <w:ind w:firstLine="480" w:firstLineChars="200"/>
        <w:rPr>
          <w:rFonts w:ascii="宋体" w:hAnsi="宋体"/>
          <w:strike w:val="0"/>
          <w:sz w:val="24"/>
          <w:highlight w:val="none"/>
        </w:rPr>
      </w:pPr>
      <w:r>
        <w:rPr>
          <w:rFonts w:hint="eastAsia" w:ascii="宋体" w:hAnsi="宋体"/>
          <w:sz w:val="24"/>
          <w:highlight w:val="none"/>
        </w:rPr>
        <w:t>6、甲方应在物业竣工验收合格后并在物业交付业主前按规定依法</w:t>
      </w:r>
      <w:r>
        <w:rPr>
          <w:rFonts w:hint="eastAsia" w:ascii="宋体" w:hAnsi="宋体"/>
          <w:sz w:val="24"/>
          <w:highlight w:val="none"/>
          <w:lang w:val="en-US" w:eastAsia="zh-CN"/>
        </w:rPr>
        <w:t>无偿提供物业管理办公用房给予乙方，</w:t>
      </w:r>
      <w:r>
        <w:rPr>
          <w:rFonts w:hint="eastAsia" w:ascii="宋体" w:hAnsi="宋体"/>
          <w:sz w:val="24"/>
          <w:highlight w:val="none"/>
        </w:rPr>
        <w:t>并向乙方移交其它属于业主共有的物业共用部位、场地、共用设施设备，物业管理区域内配套设施。</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管理用房产权归属全体业主所有，由乙方在物业管理服务期内无偿使用。</w:t>
      </w:r>
    </w:p>
    <w:p>
      <w:pPr>
        <w:adjustRightInd w:val="0"/>
        <w:snapToGrid w:val="0"/>
        <w:spacing w:line="360" w:lineRule="auto"/>
        <w:ind w:firstLine="480" w:firstLineChars="200"/>
        <w:rPr>
          <w:rFonts w:ascii="宋体" w:hAnsi="宋体"/>
          <w:sz w:val="24"/>
          <w:highlight w:val="none"/>
        </w:rPr>
      </w:pPr>
      <w:r>
        <w:rPr>
          <w:rFonts w:hint="eastAsia" w:ascii="宋体" w:hAnsi="宋体"/>
          <w:strike w:val="0"/>
          <w:sz w:val="24"/>
          <w:highlight w:val="none"/>
        </w:rPr>
        <w:t>7、完善配备齐全本物业管理区域内的配套设施和配套工程</w:t>
      </w:r>
      <w:r>
        <w:rPr>
          <w:rFonts w:hint="eastAsia" w:ascii="宋体" w:hAnsi="宋体"/>
          <w:strike w:val="0"/>
          <w:sz w:val="24"/>
          <w:highlight w:val="none"/>
          <w:lang w:eastAsia="zh-CN"/>
        </w:rPr>
        <w:t>。</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8、遵守物业管理及其他有关法律、政策，协助乙方落实各项管理工作。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9、甲方在物业交付使用前，向乙方移交下列资料</w:t>
      </w:r>
      <w:r>
        <w:rPr>
          <w:rFonts w:hint="eastAsia" w:ascii="宋体" w:hAnsi="宋体"/>
          <w:sz w:val="24"/>
          <w:highlight w:val="none"/>
          <w:lang w:eastAsia="zh-CN"/>
        </w:rPr>
        <w:t>（</w:t>
      </w:r>
      <w:r>
        <w:rPr>
          <w:rFonts w:hint="eastAsia" w:ascii="宋体" w:hAnsi="宋体"/>
          <w:sz w:val="24"/>
          <w:highlight w:val="none"/>
          <w:lang w:val="en-US" w:eastAsia="zh-CN"/>
        </w:rPr>
        <w:t>如有</w:t>
      </w:r>
      <w:r>
        <w:rPr>
          <w:rFonts w:hint="eastAsia" w:ascii="宋体" w:hAnsi="宋体"/>
          <w:sz w:val="24"/>
          <w:highlight w:val="none"/>
          <w:lang w:eastAsia="zh-CN"/>
        </w:rPr>
        <w:t>）</w:t>
      </w:r>
      <w:r>
        <w:rPr>
          <w:rFonts w:hint="eastAsia" w:ascii="宋体" w:hAnsi="宋体"/>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（1）竣工总平面图，单体建筑、结构、设备竣工图，</w:t>
      </w:r>
      <w:r>
        <w:rPr>
          <w:rFonts w:hint="eastAsia" w:ascii="宋体" w:hAnsi="宋体" w:cs="宋体"/>
          <w:kern w:val="0"/>
          <w:sz w:val="24"/>
          <w:highlight w:val="none"/>
        </w:rPr>
        <w:t>分幢分层平面图和套型图，物业区域内</w:t>
      </w:r>
      <w:r>
        <w:rPr>
          <w:rFonts w:hint="eastAsia" w:ascii="宋体" w:hAnsi="宋体"/>
          <w:sz w:val="24"/>
          <w:highlight w:val="none"/>
        </w:rPr>
        <w:t>附属配套设施、</w:t>
      </w:r>
      <w:r>
        <w:rPr>
          <w:rFonts w:hint="eastAsia" w:ascii="宋体" w:hAnsi="宋体" w:cs="宋体"/>
          <w:kern w:val="0"/>
          <w:sz w:val="24"/>
          <w:highlight w:val="none"/>
        </w:rPr>
        <w:t>道路、地下停车库、</w:t>
      </w:r>
      <w:r>
        <w:rPr>
          <w:rFonts w:hint="eastAsia" w:ascii="宋体" w:hAnsi="宋体"/>
          <w:sz w:val="24"/>
          <w:highlight w:val="none"/>
        </w:rPr>
        <w:t>地下管网工程竣工图等竣工验收资料；</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sz w:val="24"/>
          <w:highlight w:val="none"/>
        </w:rPr>
        <w:t>（2）物业管理用房、</w:t>
      </w:r>
      <w:r>
        <w:rPr>
          <w:rFonts w:hint="eastAsia" w:ascii="宋体" w:hAnsi="宋体" w:cs="宋体"/>
          <w:kern w:val="0"/>
          <w:sz w:val="24"/>
          <w:highlight w:val="none"/>
        </w:rPr>
        <w:t>共用设施设备清单；</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（3）设施设备的安装、使用、维护保养技术资料以及各类公共设备等有关维保合同书复印件；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（4）物业质量保修文件和物业使用说明文件；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（5）已购房主姓名和联系电话、所购房屋位置和面积；</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（6）物业管理所必需的其他资料。</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10、协调、处理乙方在前期介入中，提出的合理化建议和发现的问题。解决在竣工验收和接管验收时提出的各项遗留问题，在规定时间内必须整改完结。</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11、协助乙方做好前期物业管理工作，开展宣传教育和文体活动。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12、负责协助乙方办理前期物业服务费审批或备案手续。</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13、不干涉乙方依法或依本合同约定所进行的物业管理服务和经营活动。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14、甲方开发建设的市政配套设施应移交给市政管理部门或其他部门。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15、在物业交付使用前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日，甲、乙双方应共同对物业的共用部位、共用设施设备检查验收，甲方应保证交付使用的物业竣工验收合格。</w:t>
      </w:r>
    </w:p>
    <w:p>
      <w:pPr>
        <w:adjustRightInd w:val="0"/>
        <w:snapToGrid w:val="0"/>
        <w:spacing w:line="360" w:lineRule="auto"/>
        <w:ind w:firstLine="480" w:firstLineChars="200"/>
        <w:rPr>
          <w:rFonts w:ascii="宋体" w:hAnsi="宋体"/>
          <w:strike w:val="0"/>
          <w:sz w:val="24"/>
          <w:highlight w:val="none"/>
        </w:rPr>
      </w:pPr>
      <w:r>
        <w:rPr>
          <w:rFonts w:hint="eastAsia" w:ascii="宋体" w:hAnsi="宋体"/>
          <w:strike w:val="0"/>
          <w:sz w:val="24"/>
          <w:highlight w:val="none"/>
        </w:rPr>
        <w:t>16、在房屋、设施设备保修期限内，甲方应承担房屋、设施设备保修责任。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17、指定专人负责跟踪、协调、处理房地产开发建设中的遗留问题。</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18、督促业主和物业使用人交纳物业服务费及其他相关费用。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19、在免费保修保养期内甲方购置的电梯、消防、防雷设施应包含检测费用。</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20、在业主大会或业主委员会成立之前，</w:t>
      </w:r>
      <w:r>
        <w:rPr>
          <w:rFonts w:hint="eastAsia" w:ascii="宋体" w:hAnsi="宋体"/>
          <w:sz w:val="24"/>
          <w:highlight w:val="none"/>
          <w:lang w:eastAsia="zh-CN"/>
        </w:rPr>
        <w:t>法律规定</w:t>
      </w:r>
      <w:r>
        <w:rPr>
          <w:rFonts w:hint="eastAsia" w:ascii="宋体" w:hAnsi="宋体"/>
          <w:sz w:val="24"/>
          <w:highlight w:val="none"/>
        </w:rPr>
        <w:t>物业管理区域内</w:t>
      </w:r>
      <w:r>
        <w:rPr>
          <w:rFonts w:hint="eastAsia" w:ascii="宋体" w:hAnsi="宋体"/>
          <w:sz w:val="24"/>
          <w:highlight w:val="none"/>
          <w:lang w:eastAsia="zh-CN"/>
        </w:rPr>
        <w:t>由业主共同决定的</w:t>
      </w:r>
      <w:r>
        <w:rPr>
          <w:rFonts w:hint="eastAsia" w:ascii="宋体" w:hAnsi="宋体"/>
          <w:sz w:val="24"/>
          <w:highlight w:val="none"/>
        </w:rPr>
        <w:t>事项应</w:t>
      </w:r>
      <w:r>
        <w:rPr>
          <w:rFonts w:hint="eastAsia" w:ascii="宋体" w:hAnsi="宋体"/>
          <w:sz w:val="24"/>
          <w:highlight w:val="none"/>
          <w:lang w:eastAsia="zh-CN"/>
        </w:rPr>
        <w:t>根据《中华人民共和国民法典》第二百七十八条的规定</w:t>
      </w:r>
      <w:r>
        <w:rPr>
          <w:rFonts w:hint="eastAsia" w:ascii="宋体" w:hAnsi="宋体"/>
          <w:sz w:val="24"/>
          <w:highlight w:val="none"/>
        </w:rPr>
        <w:t>征求物业买受人的意见，</w:t>
      </w:r>
      <w:r>
        <w:rPr>
          <w:rFonts w:hint="eastAsia" w:ascii="宋体" w:hAnsi="宋体"/>
          <w:sz w:val="24"/>
          <w:highlight w:val="none"/>
          <w:lang w:eastAsia="zh-CN"/>
        </w:rPr>
        <w:t>并</w:t>
      </w:r>
      <w:r>
        <w:rPr>
          <w:rFonts w:hint="eastAsia" w:ascii="宋体" w:hAnsi="宋体"/>
          <w:sz w:val="24"/>
          <w:highlight w:val="none"/>
        </w:rPr>
        <w:t xml:space="preserve">由甲方参与监督。                         </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1</w:t>
      </w:r>
      <w:r>
        <w:rPr>
          <w:rFonts w:hint="eastAsia" w:ascii="宋体" w:hAnsi="宋体"/>
          <w:sz w:val="24"/>
          <w:highlight w:val="none"/>
        </w:rPr>
        <w:t>、法律、法规规定及本合同约定的其他权利、义务。</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第十条</w:t>
      </w:r>
      <w:r>
        <w:rPr>
          <w:rFonts w:hint="eastAsia" w:ascii="宋体" w:hAnsi="宋体"/>
          <w:sz w:val="24"/>
          <w:highlight w:val="none"/>
        </w:rPr>
        <w:t xml:space="preserve">  乙方权利与义务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1、在本物业管理区域内设立专门机构负责本物业的日常管理工作，履行本合同的有关权利、义务。</w:t>
      </w:r>
    </w:p>
    <w:p>
      <w:pPr>
        <w:adjustRightInd w:val="0"/>
        <w:snapToGrid w:val="0"/>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2、根据有关法律、法规及本合同的约定，制定本物业管理区域内的物业服务制度和物业服务方案，自主开展物业经营管理服务活动，但不得侵害业主、物业使用人及他人的合法权益，不得利用提供物业管理服务的便利获取不当利益。</w:t>
      </w:r>
      <w:r>
        <w:rPr>
          <w:rFonts w:hint="eastAsia" w:ascii="宋体" w:hAnsi="宋体"/>
          <w:color w:val="FF0000"/>
          <w:sz w:val="24"/>
          <w:highlight w:val="none"/>
          <w:lang w:eastAsia="zh-CN"/>
        </w:rPr>
        <w:t>未经许可不得擅自改变物业用房用途。</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3、受甲方委托按本合同第二章之约定内容，参与各项工作；对本物业交付后的物业进行日常管理。</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4、编制房屋、设施设备大中修方案报批准后实施。</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5、承接物业时，查验、接收物业管理用房、共用部位、共用设施设备。</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6、可以将物业管理区域内的专项服务业务委托给专业性服务企业，但不得将该区域内的全部物业管理一并委托给他人。</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7、根据本合同的约定，向物业买受人或物业使用人收取物业服务费用及运行能耗费；并将物业服务收费标准和特约服务收费项目和标准在本物业管理区域内公布。</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8、开展对本物业的共用部位、共用设施设备的年度安全检查工作，发现安全隐患应及时予以整改。在本合同的第四条约定的乙方履行公用设施设备维修过程中，在维修过程中造成乙方工作人员及乙方雇用人员或第三人人身及财产损失的责任由乙方承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9、协助做好物业管理区域内的安全防范工作。发生安全事故时，乙方在采取应急措施的同时，应当及时向有关行政管理部门报告，协助做好救助工作。</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10、不得擅自占用、挖掘物业管理区域内的道路、场地，损害业主的共同利益。确需临时占用、挖掘道路、场地的，应当征得相关物业买受人的同意或在本物业管理区域内公告，并将临时占用、挖掘的道路、场地，在约定期限内恢复原状。</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11、对物业买受人或和物业使用人违反《临时管理规约》的行为，有权采取劝阻、制止、在物业管理区域内公示、报告甲方或业委会以及其他合法方式进行处理。</w:t>
      </w:r>
    </w:p>
    <w:p>
      <w:pPr>
        <w:adjustRightInd w:val="0"/>
        <w:snapToGrid w:val="0"/>
        <w:spacing w:line="360" w:lineRule="auto"/>
        <w:ind w:firstLine="480" w:firstLineChars="200"/>
        <w:rPr>
          <w:rFonts w:ascii="宋体" w:hAnsi="宋体"/>
          <w:sz w:val="24"/>
          <w:highlight w:val="none"/>
          <w:shd w:val="clear" w:color="auto" w:fill="auto"/>
        </w:rPr>
      </w:pPr>
      <w:r>
        <w:rPr>
          <w:rFonts w:hint="eastAsia" w:ascii="宋体" w:hAnsi="宋体"/>
          <w:sz w:val="24"/>
          <w:highlight w:val="none"/>
        </w:rPr>
        <w:t>12、以《业主手册》或其他适当方式向业主和物业使用人提示物业使用的有关事项，当业主和物业使用人装修物业时，订立书面装修管理协议，</w:t>
      </w:r>
      <w:r>
        <w:rPr>
          <w:rFonts w:hint="eastAsia" w:ascii="宋体" w:hAnsi="宋体"/>
          <w:sz w:val="24"/>
          <w:highlight w:val="none"/>
          <w:shd w:val="clear" w:color="auto" w:fill="auto"/>
        </w:rPr>
        <w:t>告知</w:t>
      </w:r>
      <w:r>
        <w:rPr>
          <w:rFonts w:hint="eastAsia" w:ascii="宋体" w:hAnsi="宋体"/>
          <w:sz w:val="24"/>
          <w:highlight w:val="none"/>
          <w:shd w:val="clear" w:color="auto" w:fill="auto"/>
          <w:lang w:val="en-US" w:eastAsia="zh-CN"/>
        </w:rPr>
        <w:t>不得擅自在外墙凿洞、开窗、安装防护栏防盗窗造成墙体渗水等</w:t>
      </w:r>
      <w:r>
        <w:rPr>
          <w:rFonts w:hint="eastAsia" w:ascii="宋体" w:hAnsi="宋体"/>
          <w:sz w:val="24"/>
          <w:highlight w:val="none"/>
          <w:shd w:val="clear" w:color="auto" w:fill="auto"/>
        </w:rPr>
        <w:t xml:space="preserve">有关注意事项和禁止行为，并负责监督。 </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13、对于甲方明确约定给单个物业买受人专用的绿地、露台及其他单个物业买受人享有专用权的部位，告知有关保养、维护、清洁事宜，并负责监督。</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14、建立和妥善保管本物业管理档案，及时记载变更情况。</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15、合同终止或解除时，应及时办理交接手续，向甲方移交甲方提供的物业管理用房、共用部位、共用设施设备及物业管理的全部档案资料，移交时已成立业主委员会的，则向业主委员会移交。</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16、法律、法规规定及本合同约定的其他权利、义务。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w:t>
      </w:r>
    </w:p>
    <w:p>
      <w:pPr>
        <w:numPr>
          <w:ilvl w:val="0"/>
          <w:numId w:val="0"/>
        </w:numPr>
        <w:adjustRightInd w:val="0"/>
        <w:snapToGrid w:val="0"/>
        <w:spacing w:line="360" w:lineRule="auto"/>
        <w:ind w:leftChars="0"/>
        <w:jc w:val="center"/>
        <w:rPr>
          <w:rFonts w:ascii="宋体" w:hAnsi="宋体"/>
          <w:b/>
          <w:sz w:val="30"/>
          <w:szCs w:val="30"/>
          <w:highlight w:val="none"/>
        </w:rPr>
      </w:pPr>
      <w:r>
        <w:rPr>
          <w:rFonts w:hint="eastAsia" w:ascii="宋体" w:hAnsi="宋体"/>
          <w:b/>
          <w:bCs/>
          <w:sz w:val="30"/>
          <w:szCs w:val="30"/>
          <w:highlight w:val="none"/>
          <w:lang w:val="en-US" w:eastAsia="zh-CN"/>
        </w:rPr>
        <w:t xml:space="preserve">第五章  </w:t>
      </w:r>
      <w:r>
        <w:rPr>
          <w:rFonts w:hint="eastAsia" w:ascii="宋体" w:hAnsi="宋体"/>
          <w:b/>
          <w:bCs/>
          <w:sz w:val="30"/>
          <w:szCs w:val="30"/>
          <w:highlight w:val="none"/>
        </w:rPr>
        <w:t>前期物业服务费</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第十一条</w:t>
      </w:r>
      <w:r>
        <w:rPr>
          <w:rFonts w:hint="eastAsia" w:ascii="宋体" w:hAnsi="宋体"/>
          <w:sz w:val="24"/>
          <w:highlight w:val="none"/>
        </w:rPr>
        <w:t xml:space="preserve">  本物业管理区域前期物业服务收费采用包干制方式</w:t>
      </w:r>
    </w:p>
    <w:p>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乙方按照本合同约定的标准收取前期物业服务费，并按本合同第四条约定的服务内容及本合同附件约定的质量标准提供服务。</w:t>
      </w:r>
    </w:p>
    <w:p>
      <w:pPr>
        <w:adjustRightInd w:val="0"/>
        <w:snapToGrid w:val="0"/>
        <w:spacing w:line="360" w:lineRule="auto"/>
        <w:ind w:firstLine="480" w:firstLineChars="200"/>
        <w:rPr>
          <w:rFonts w:hint="eastAsia" w:ascii="宋体" w:hAnsi="宋体" w:cs="Times New Roman"/>
          <w:sz w:val="24"/>
          <w:szCs w:val="24"/>
          <w:highlight w:val="none"/>
          <w:lang w:eastAsia="zh-CN"/>
        </w:rPr>
      </w:pPr>
      <w:r>
        <w:rPr>
          <w:rFonts w:hint="eastAsia" w:ascii="宋体" w:hAnsi="宋体" w:eastAsia="宋体" w:cs="Times New Roman"/>
          <w:sz w:val="24"/>
          <w:highlight w:val="none"/>
        </w:rPr>
        <w:t>本工程竣工交付使用前，前期介入采取顾问形式，在物业管理交接验收时，</w:t>
      </w:r>
      <w:r>
        <w:rPr>
          <w:rFonts w:hint="eastAsia" w:ascii="宋体" w:hAnsi="宋体" w:eastAsia="宋体" w:cs="Times New Roman"/>
          <w:sz w:val="24"/>
          <w:szCs w:val="24"/>
          <w:highlight w:val="none"/>
        </w:rPr>
        <w:t>乙方不得因前期物业开办费用等</w:t>
      </w:r>
      <w:r>
        <w:rPr>
          <w:rFonts w:hint="eastAsia" w:ascii="宋体" w:hAnsi="宋体" w:cs="Times New Roman"/>
          <w:sz w:val="24"/>
          <w:szCs w:val="24"/>
          <w:highlight w:val="none"/>
          <w:lang w:val="en-US" w:eastAsia="zh-CN"/>
        </w:rPr>
        <w:t>问题</w:t>
      </w:r>
      <w:r>
        <w:rPr>
          <w:rFonts w:hint="eastAsia" w:ascii="宋体" w:hAnsi="宋体" w:eastAsia="宋体" w:cs="Times New Roman"/>
          <w:sz w:val="24"/>
          <w:szCs w:val="24"/>
          <w:highlight w:val="none"/>
        </w:rPr>
        <w:t>拒绝交接</w:t>
      </w:r>
      <w:r>
        <w:rPr>
          <w:rFonts w:hint="eastAsia" w:ascii="宋体" w:hAnsi="宋体" w:cs="Times New Roman"/>
          <w:sz w:val="24"/>
          <w:szCs w:val="24"/>
          <w:highlight w:val="none"/>
          <w:lang w:eastAsia="zh-CN"/>
        </w:rPr>
        <w:t>。</w:t>
      </w:r>
    </w:p>
    <w:p>
      <w:pPr>
        <w:adjustRightInd w:val="0"/>
        <w:snapToGrid w:val="0"/>
        <w:spacing w:line="360" w:lineRule="auto"/>
        <w:ind w:firstLine="480" w:firstLineChars="200"/>
        <w:rPr>
          <w:rFonts w:hint="default" w:ascii="宋体" w:hAnsi="宋体" w:cs="Times New Roman"/>
          <w:color w:val="FF0000"/>
          <w:sz w:val="24"/>
          <w:szCs w:val="24"/>
          <w:highlight w:val="none"/>
          <w:shd w:val="clear" w:color="FFFFFF" w:fill="D9D9D9"/>
          <w:lang w:val="en-US" w:eastAsia="zh-CN"/>
        </w:rPr>
      </w:pPr>
      <w:r>
        <w:rPr>
          <w:rFonts w:hint="eastAsia" w:ascii="宋体" w:hAnsi="宋体" w:cs="Times New Roman"/>
          <w:color w:val="auto"/>
          <w:sz w:val="24"/>
          <w:szCs w:val="24"/>
          <w:highlight w:val="none"/>
          <w:shd w:val="clear" w:color="auto" w:fill="auto"/>
          <w:lang w:val="en-US" w:eastAsia="zh-CN"/>
        </w:rPr>
        <w:t>前期开办物品费用由甲方一次性提供</w:t>
      </w:r>
      <w:r>
        <w:rPr>
          <w:rFonts w:hint="eastAsia" w:ascii="宋体" w:hAnsi="宋体" w:cs="Times New Roman"/>
          <w:color w:val="auto"/>
          <w:sz w:val="24"/>
          <w:szCs w:val="24"/>
          <w:highlight w:val="none"/>
          <w:u w:val="single"/>
          <w:shd w:val="clear" w:color="auto" w:fill="auto"/>
          <w:lang w:val="en-US" w:eastAsia="zh-CN"/>
        </w:rPr>
        <w:t xml:space="preserve">     </w:t>
      </w:r>
      <w:r>
        <w:rPr>
          <w:rFonts w:hint="eastAsia" w:ascii="宋体" w:hAnsi="宋体" w:cs="Times New Roman"/>
          <w:color w:val="auto"/>
          <w:sz w:val="24"/>
          <w:szCs w:val="24"/>
          <w:highlight w:val="none"/>
          <w:shd w:val="clear" w:color="auto" w:fill="auto"/>
          <w:lang w:val="en-US" w:eastAsia="zh-CN"/>
        </w:rPr>
        <w:t>万元（大写：人民币</w:t>
      </w:r>
      <w:r>
        <w:rPr>
          <w:rFonts w:hint="eastAsia" w:ascii="宋体" w:hAnsi="宋体" w:cs="Times New Roman"/>
          <w:color w:val="auto"/>
          <w:sz w:val="24"/>
          <w:szCs w:val="24"/>
          <w:highlight w:val="none"/>
          <w:u w:val="single"/>
          <w:shd w:val="clear" w:color="auto" w:fill="auto"/>
          <w:lang w:val="en-US" w:eastAsia="zh-CN"/>
        </w:rPr>
        <w:t xml:space="preserve">         </w:t>
      </w:r>
      <w:r>
        <w:rPr>
          <w:rFonts w:hint="eastAsia" w:ascii="宋体" w:hAnsi="宋体" w:cs="Times New Roman"/>
          <w:color w:val="auto"/>
          <w:sz w:val="24"/>
          <w:szCs w:val="24"/>
          <w:highlight w:val="none"/>
          <w:shd w:val="clear" w:color="auto" w:fill="auto"/>
          <w:lang w:val="en-US" w:eastAsia="zh-CN"/>
        </w:rPr>
        <w:t>整）物品采购及宿舍装修费用。主要包括办公室及岗亭的空调、办公桌椅文件柜、绿化设备、电脑、打印机、安装宽带固话、对讲机、宿舍床铺桌椅、房间的隔断、卫生间装修等等，以上费用包涵材料费、人工费，甲方在项目交付前一次性支付给乙方，由乙方直接购置、施工使用，并做好财物登记。</w:t>
      </w:r>
    </w:p>
    <w:p>
      <w:pPr>
        <w:adjustRightInd w:val="0"/>
        <w:snapToGrid w:val="0"/>
        <w:spacing w:line="360" w:lineRule="auto"/>
        <w:ind w:firstLine="482" w:firstLineChars="200"/>
        <w:rPr>
          <w:rFonts w:hint="eastAsia" w:ascii="宋体" w:hAnsi="宋体"/>
          <w:sz w:val="24"/>
          <w:highlight w:val="none"/>
        </w:rPr>
      </w:pPr>
      <w:r>
        <w:rPr>
          <w:rFonts w:hint="eastAsia" w:ascii="宋体" w:hAnsi="宋体"/>
          <w:b/>
          <w:sz w:val="24"/>
          <w:highlight w:val="none"/>
        </w:rPr>
        <w:t xml:space="preserve">第十二条 </w:t>
      </w:r>
      <w:r>
        <w:rPr>
          <w:rFonts w:hint="eastAsia" w:ascii="宋体" w:hAnsi="宋体"/>
          <w:sz w:val="24"/>
          <w:highlight w:val="none"/>
        </w:rPr>
        <w:t>本物业管理区域前期物业服务费由业主按其拥有物业的建筑面积交纳，没有建筑面积的，按个数交纳。具体标准如下：</w:t>
      </w:r>
    </w:p>
    <w:p>
      <w:pPr>
        <w:adjustRightInd w:val="0"/>
        <w:snapToGrid w:val="0"/>
        <w:spacing w:line="360" w:lineRule="auto"/>
        <w:ind w:firstLine="480"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1、高层住宅：</w:t>
      </w:r>
      <w:r>
        <w:rPr>
          <w:rFonts w:hint="eastAsia" w:ascii="宋体" w:hAnsi="宋体" w:cs="Times New Roman"/>
          <w:color w:val="000000"/>
          <w:sz w:val="24"/>
          <w:highlight w:val="none"/>
          <w:u w:val="single"/>
          <w:lang w:val="en-US" w:eastAsia="zh-CN"/>
        </w:rPr>
        <w:t xml:space="preserve">    </w:t>
      </w:r>
      <w:r>
        <w:rPr>
          <w:rFonts w:hint="eastAsia" w:ascii="宋体" w:hAnsi="宋体" w:eastAsia="宋体" w:cs="Times New Roman"/>
          <w:color w:val="000000"/>
          <w:sz w:val="24"/>
          <w:highlight w:val="none"/>
          <w:lang w:val="en-US" w:eastAsia="zh-CN"/>
        </w:rPr>
        <w:t>元/月·平方米；</w:t>
      </w:r>
    </w:p>
    <w:p>
      <w:pPr>
        <w:adjustRightInd w:val="0"/>
        <w:snapToGrid w:val="0"/>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w:t>
      </w:r>
      <w:r>
        <w:rPr>
          <w:rFonts w:hint="eastAsia" w:ascii="宋体" w:hAnsi="宋体" w:cs="Times New Roman"/>
          <w:color w:val="auto"/>
          <w:sz w:val="24"/>
          <w:highlight w:val="none"/>
          <w:lang w:val="en-US" w:eastAsia="zh-CN"/>
        </w:rPr>
        <w:t>营业房</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元/月·平方米；</w:t>
      </w:r>
    </w:p>
    <w:p>
      <w:pPr>
        <w:adjustRightInd w:val="0"/>
        <w:snapToGrid w:val="0"/>
        <w:spacing w:line="360" w:lineRule="auto"/>
        <w:ind w:firstLine="516" w:firstLineChars="215"/>
        <w:rPr>
          <w:rFonts w:ascii="宋体" w:hAnsi="宋体"/>
          <w:sz w:val="24"/>
          <w:highlight w:val="none"/>
        </w:rPr>
      </w:pPr>
      <w:r>
        <w:rPr>
          <w:rFonts w:hint="eastAsia" w:ascii="宋体" w:hAnsi="宋体" w:eastAsia="宋体" w:cs="Times New Roman"/>
          <w:color w:val="000000"/>
          <w:sz w:val="24"/>
          <w:highlight w:val="none"/>
          <w:lang w:val="en-US" w:eastAsia="zh-CN"/>
        </w:rPr>
        <w:t>3、汽车泊位管理费：</w:t>
      </w:r>
      <w:r>
        <w:rPr>
          <w:rFonts w:hint="eastAsia" w:ascii="宋体" w:hAnsi="宋体" w:cs="Times New Roman"/>
          <w:color w:val="000000"/>
          <w:sz w:val="24"/>
          <w:highlight w:val="none"/>
          <w:u w:val="single"/>
          <w:lang w:val="en-US" w:eastAsia="zh-CN"/>
        </w:rPr>
        <w:t xml:space="preserve">   </w:t>
      </w:r>
      <w:r>
        <w:rPr>
          <w:rFonts w:hint="eastAsia" w:ascii="宋体" w:hAnsi="宋体" w:eastAsia="宋体" w:cs="Times New Roman"/>
          <w:color w:val="000000"/>
          <w:sz w:val="24"/>
          <w:highlight w:val="none"/>
          <w:lang w:val="en-US" w:eastAsia="zh-CN"/>
        </w:rPr>
        <w:t>元/个·月；</w:t>
      </w:r>
    </w:p>
    <w:p>
      <w:pPr>
        <w:adjustRightInd w:val="0"/>
        <w:snapToGrid w:val="0"/>
        <w:spacing w:line="360" w:lineRule="auto"/>
        <w:ind w:firstLine="516" w:firstLineChars="215"/>
        <w:rPr>
          <w:rFonts w:hint="default" w:ascii="宋体" w:hAnsi="宋体" w:eastAsia="宋体"/>
          <w:sz w:val="24"/>
          <w:highlight w:val="none"/>
          <w:lang w:val="en-US" w:eastAsia="zh-CN"/>
        </w:rPr>
      </w:pPr>
      <w:r>
        <w:rPr>
          <w:rFonts w:hint="eastAsia" w:ascii="宋体" w:hAnsi="宋体"/>
          <w:sz w:val="24"/>
          <w:highlight w:val="none"/>
        </w:rPr>
        <w:t>4、地面车位：根据政府部门相关规定执行；</w:t>
      </w:r>
    </w:p>
    <w:p>
      <w:pPr>
        <w:adjustRightInd w:val="0"/>
        <w:snapToGrid w:val="0"/>
        <w:spacing w:line="360" w:lineRule="auto"/>
        <w:ind w:firstLine="516" w:firstLineChars="215"/>
        <w:rPr>
          <w:rFonts w:hint="default" w:ascii="宋体" w:hAnsi="宋体"/>
          <w:sz w:val="24"/>
          <w:highlight w:val="none"/>
          <w:lang w:val="en-US" w:eastAsia="zh-CN"/>
        </w:rPr>
      </w:pPr>
      <w:r>
        <w:rPr>
          <w:rFonts w:hint="eastAsia" w:ascii="宋体" w:hAnsi="宋体"/>
          <w:sz w:val="24"/>
          <w:highlight w:val="none"/>
        </w:rPr>
        <w:t>5、装修垃圾清运</w:t>
      </w:r>
      <w:r>
        <w:rPr>
          <w:rFonts w:hint="eastAsia" w:ascii="宋体" w:hAnsi="宋体"/>
          <w:sz w:val="24"/>
          <w:highlight w:val="none"/>
          <w:lang w:val="en-US" w:eastAsia="zh-CN"/>
        </w:rPr>
        <w:t>按如下执行</w:t>
      </w:r>
      <w:r>
        <w:rPr>
          <w:rFonts w:hint="eastAsia" w:ascii="宋体" w:hAnsi="宋体"/>
          <w:sz w:val="24"/>
          <w:highlight w:val="none"/>
        </w:rPr>
        <w:t>：</w:t>
      </w:r>
    </w:p>
    <w:p>
      <w:pPr>
        <w:adjustRightInd w:val="0"/>
        <w:snapToGrid w:val="0"/>
        <w:spacing w:line="360" w:lineRule="auto"/>
        <w:ind w:firstLine="516" w:firstLineChars="215"/>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（1）如业主要求乙方清运的业主需</w:t>
      </w:r>
      <w:r>
        <w:rPr>
          <w:rFonts w:hint="eastAsia" w:ascii="宋体" w:hAnsi="宋体"/>
          <w:color w:val="auto"/>
          <w:sz w:val="24"/>
          <w:highlight w:val="none"/>
          <w:shd w:val="clear" w:color="auto" w:fill="auto"/>
        </w:rPr>
        <w:t>按住宅总建筑面积</w:t>
      </w:r>
      <w:r>
        <w:rPr>
          <w:rFonts w:hint="eastAsia" w:ascii="宋体" w:hAnsi="宋体"/>
          <w:color w:val="auto"/>
          <w:sz w:val="24"/>
          <w:highlight w:val="none"/>
          <w:u w:val="single"/>
          <w:shd w:val="clear" w:color="auto" w:fill="auto"/>
          <w:lang w:val="en-US" w:eastAsia="zh-CN"/>
        </w:rPr>
        <w:t xml:space="preserve">   </w:t>
      </w:r>
      <w:r>
        <w:rPr>
          <w:rFonts w:hint="eastAsia" w:ascii="宋体" w:hAnsi="宋体"/>
          <w:color w:val="auto"/>
          <w:sz w:val="24"/>
          <w:highlight w:val="none"/>
          <w:shd w:val="clear" w:color="auto" w:fill="auto"/>
        </w:rPr>
        <w:t>元/平方米收取</w:t>
      </w:r>
      <w:r>
        <w:rPr>
          <w:rFonts w:hint="eastAsia" w:ascii="宋体" w:hAnsi="宋体"/>
          <w:color w:val="auto"/>
          <w:sz w:val="24"/>
          <w:highlight w:val="none"/>
          <w:shd w:val="clear" w:color="auto" w:fill="auto"/>
          <w:lang w:val="en-US" w:eastAsia="zh-CN"/>
        </w:rPr>
        <w:t>并服务到位</w:t>
      </w:r>
      <w:r>
        <w:rPr>
          <w:rFonts w:hint="eastAsia" w:ascii="宋体" w:hAnsi="宋体"/>
          <w:color w:val="auto"/>
          <w:sz w:val="24"/>
          <w:highlight w:val="none"/>
          <w:shd w:val="clear" w:color="auto" w:fill="auto"/>
        </w:rPr>
        <w:t>（此费用</w:t>
      </w:r>
      <w:r>
        <w:rPr>
          <w:rFonts w:hint="eastAsia" w:ascii="宋体" w:hAnsi="宋体"/>
          <w:color w:val="auto"/>
          <w:sz w:val="24"/>
          <w:highlight w:val="none"/>
          <w:shd w:val="clear" w:color="auto" w:fill="auto"/>
          <w:lang w:val="en-US" w:eastAsia="zh-CN"/>
        </w:rPr>
        <w:t>可</w:t>
      </w:r>
      <w:r>
        <w:rPr>
          <w:rFonts w:hint="eastAsia" w:ascii="宋体" w:hAnsi="宋体"/>
          <w:color w:val="auto"/>
          <w:sz w:val="24"/>
          <w:highlight w:val="none"/>
          <w:shd w:val="clear" w:color="auto" w:fill="auto"/>
        </w:rPr>
        <w:t>按照当地市场价调整）</w:t>
      </w:r>
      <w:r>
        <w:rPr>
          <w:rFonts w:hint="eastAsia" w:ascii="宋体" w:hAnsi="宋体"/>
          <w:color w:val="auto"/>
          <w:sz w:val="24"/>
          <w:highlight w:val="none"/>
          <w:shd w:val="clear" w:color="auto" w:fill="auto"/>
          <w:lang w:eastAsia="zh-CN"/>
        </w:rPr>
        <w:t>；</w:t>
      </w:r>
    </w:p>
    <w:p>
      <w:pPr>
        <w:adjustRightInd w:val="0"/>
        <w:snapToGrid w:val="0"/>
        <w:spacing w:line="360" w:lineRule="auto"/>
        <w:ind w:firstLine="516" w:firstLineChars="215"/>
        <w:rPr>
          <w:rFonts w:hint="default"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（2）如业主要求自行清运的需按照乙方管理要求进行清运；</w:t>
      </w:r>
    </w:p>
    <w:p>
      <w:pPr>
        <w:adjustRightInd w:val="0"/>
        <w:snapToGrid w:val="0"/>
        <w:spacing w:line="360" w:lineRule="auto"/>
        <w:ind w:firstLine="516" w:firstLineChars="215"/>
        <w:rPr>
          <w:rFonts w:hint="default" w:ascii="宋体" w:hAnsi="宋体" w:eastAsia="宋体"/>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（3）装修垃圾需袋装化清运，按照乙方要求堆放在统一指定场地并做到日产日清。</w:t>
      </w:r>
    </w:p>
    <w:p>
      <w:pPr>
        <w:adjustRightInd w:val="0"/>
        <w:snapToGrid w:val="0"/>
        <w:spacing w:line="360" w:lineRule="auto"/>
        <w:ind w:firstLine="518" w:firstLineChars="215"/>
        <w:rPr>
          <w:rFonts w:hint="eastAsia" w:ascii="宋体" w:hAnsi="宋体"/>
          <w:color w:val="auto"/>
          <w:sz w:val="24"/>
          <w:highlight w:val="none"/>
        </w:rPr>
      </w:pPr>
      <w:r>
        <w:rPr>
          <w:rFonts w:hint="eastAsia" w:ascii="宋体" w:hAnsi="宋体"/>
          <w:b/>
          <w:color w:val="auto"/>
          <w:sz w:val="24"/>
          <w:highlight w:val="none"/>
        </w:rPr>
        <w:t>第十三条</w:t>
      </w:r>
      <w:r>
        <w:rPr>
          <w:rFonts w:hint="eastAsia" w:ascii="宋体" w:hAnsi="宋体"/>
          <w:color w:val="auto"/>
          <w:sz w:val="24"/>
          <w:highlight w:val="none"/>
        </w:rPr>
        <w:t xml:space="preserve">  物业服务费中未计入公用设施设备（如：电梯、增压水泵、公共照明、景观水系、监控等）运行所需的能耗费用，预收费用为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元/户</w:t>
      </w:r>
      <w:r>
        <w:rPr>
          <w:rFonts w:hint="eastAsia" w:ascii="宋体" w:hAnsi="宋体"/>
          <w:color w:val="auto"/>
          <w:sz w:val="24"/>
          <w:highlight w:val="none"/>
          <w:lang w:eastAsia="zh-CN"/>
        </w:rPr>
        <w:t>，</w:t>
      </w:r>
      <w:r>
        <w:rPr>
          <w:rFonts w:hint="eastAsia" w:ascii="宋体" w:hAnsi="宋体"/>
          <w:color w:val="auto"/>
          <w:sz w:val="24"/>
          <w:highlight w:val="none"/>
        </w:rPr>
        <w:t>该等</w:t>
      </w:r>
      <w:r>
        <w:rPr>
          <w:rFonts w:hint="eastAsia" w:ascii="宋体" w:hAnsi="宋体"/>
          <w:color w:val="auto"/>
          <w:sz w:val="24"/>
          <w:highlight w:val="none"/>
          <w:lang w:val="en-US" w:eastAsia="zh-CN"/>
        </w:rPr>
        <w:t>公共</w:t>
      </w:r>
      <w:r>
        <w:rPr>
          <w:rFonts w:hint="eastAsia" w:ascii="宋体" w:hAnsi="宋体"/>
          <w:color w:val="auto"/>
          <w:sz w:val="24"/>
          <w:highlight w:val="none"/>
        </w:rPr>
        <w:t>能耗费用预收后按</w:t>
      </w:r>
      <w:r>
        <w:rPr>
          <w:rFonts w:hint="eastAsia" w:ascii="宋体" w:hAnsi="宋体"/>
          <w:color w:val="auto"/>
          <w:sz w:val="24"/>
          <w:highlight w:val="none"/>
          <w:lang w:val="en-US" w:eastAsia="zh-CN"/>
        </w:rPr>
        <w:t>实际产生的费用</w:t>
      </w:r>
      <w:r>
        <w:rPr>
          <w:rFonts w:hint="eastAsia" w:ascii="宋体" w:hAnsi="宋体"/>
          <w:color w:val="auto"/>
          <w:sz w:val="24"/>
          <w:highlight w:val="none"/>
        </w:rPr>
        <w:t>向</w:t>
      </w:r>
      <w:r>
        <w:rPr>
          <w:rFonts w:hint="eastAsia" w:ascii="宋体" w:hAnsi="宋体"/>
          <w:color w:val="auto"/>
          <w:sz w:val="24"/>
          <w:highlight w:val="none"/>
          <w:lang w:val="en-US" w:eastAsia="zh-CN"/>
        </w:rPr>
        <w:t>物业产权人/使用人进行</w:t>
      </w:r>
      <w:r>
        <w:rPr>
          <w:rFonts w:hint="eastAsia" w:ascii="宋体" w:hAnsi="宋体"/>
          <w:color w:val="auto"/>
          <w:sz w:val="24"/>
          <w:highlight w:val="none"/>
        </w:rPr>
        <w:t>分摊</w:t>
      </w:r>
      <w:r>
        <w:rPr>
          <w:rFonts w:hint="eastAsia" w:ascii="宋体" w:hAnsi="宋体"/>
          <w:color w:val="auto"/>
          <w:sz w:val="24"/>
          <w:highlight w:val="none"/>
          <w:lang w:val="en-US" w:eastAsia="zh-CN"/>
        </w:rPr>
        <w:t>并收取</w:t>
      </w:r>
      <w:r>
        <w:rPr>
          <w:rFonts w:hint="eastAsia" w:ascii="宋体" w:hAnsi="宋体"/>
          <w:color w:val="auto"/>
          <w:sz w:val="24"/>
          <w:highlight w:val="none"/>
        </w:rPr>
        <w:t>，每6个月在物业管理区域内公布一次收支情况。</w:t>
      </w:r>
    </w:p>
    <w:p>
      <w:pPr>
        <w:adjustRightInd w:val="0"/>
        <w:snapToGrid w:val="0"/>
        <w:spacing w:line="360" w:lineRule="auto"/>
        <w:ind w:firstLine="518" w:firstLineChars="215"/>
        <w:rPr>
          <w:rFonts w:hint="eastAsia" w:ascii="宋体" w:hAnsi="宋体"/>
          <w:sz w:val="24"/>
          <w:highlight w:val="none"/>
        </w:rPr>
      </w:pPr>
      <w:r>
        <w:rPr>
          <w:rFonts w:hint="eastAsia" w:ascii="宋体" w:hAnsi="宋体"/>
          <w:b/>
          <w:sz w:val="24"/>
          <w:highlight w:val="none"/>
        </w:rPr>
        <w:t>第十四条</w:t>
      </w:r>
      <w:r>
        <w:rPr>
          <w:rFonts w:hint="eastAsia" w:ascii="宋体" w:hAnsi="宋体"/>
          <w:sz w:val="24"/>
          <w:highlight w:val="none"/>
        </w:rPr>
        <w:t xml:space="preserve">  物业服务费主要用于以下开支：</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rPr>
        <w:t>1、管理服务人员的工资、社会保险和按规定提取的福利费等。</w:t>
      </w:r>
    </w:p>
    <w:p>
      <w:pPr>
        <w:adjustRightInd w:val="0"/>
        <w:snapToGrid w:val="0"/>
        <w:spacing w:line="360" w:lineRule="auto"/>
        <w:ind w:firstLine="516" w:firstLineChars="215"/>
        <w:rPr>
          <w:rFonts w:hint="eastAsia" w:ascii="宋体" w:hAnsi="宋体"/>
          <w:strike w:val="0"/>
          <w:dstrike w:val="0"/>
          <w:color w:val="auto"/>
          <w:sz w:val="24"/>
          <w:highlight w:val="none"/>
          <w:shd w:val="clear" w:color="auto" w:fill="auto"/>
        </w:rPr>
      </w:pPr>
      <w:r>
        <w:rPr>
          <w:rFonts w:hint="eastAsia" w:ascii="宋体" w:hAnsi="宋体"/>
          <w:sz w:val="24"/>
          <w:highlight w:val="none"/>
        </w:rPr>
        <w:t>2、</w:t>
      </w:r>
      <w:r>
        <w:rPr>
          <w:rFonts w:hint="eastAsia" w:ascii="宋体" w:hAnsi="宋体"/>
          <w:color w:val="auto"/>
          <w:sz w:val="24"/>
          <w:highlight w:val="none"/>
        </w:rPr>
        <w:t>物业共用部位、共用设施设备的日常运行、维护费用</w:t>
      </w:r>
      <w:r>
        <w:rPr>
          <w:rFonts w:hint="eastAsia" w:ascii="宋体" w:hAnsi="宋体"/>
          <w:color w:val="auto"/>
          <w:sz w:val="24"/>
          <w:highlight w:val="none"/>
          <w:shd w:val="clear" w:color="auto" w:fill="auto"/>
          <w:lang w:eastAsia="zh-CN"/>
        </w:rPr>
        <w:t>（</w:t>
      </w:r>
      <w:r>
        <w:rPr>
          <w:rFonts w:hint="eastAsia" w:ascii="宋体" w:hAnsi="宋体"/>
          <w:strike w:val="0"/>
          <w:dstrike w:val="0"/>
          <w:color w:val="auto"/>
          <w:sz w:val="24"/>
          <w:highlight w:val="none"/>
          <w:shd w:val="clear" w:color="auto" w:fill="auto"/>
        </w:rPr>
        <w:t>不包括楼栋建筑物外墙清洗费用，消防自动设施器材年检维保费用，避雷设施等物业共用设施设备的年检维保费用</w:t>
      </w:r>
      <w:r>
        <w:rPr>
          <w:rFonts w:ascii="宋体" w:hAnsi="宋体"/>
          <w:strike w:val="0"/>
          <w:dstrike w:val="0"/>
          <w:color w:val="auto"/>
          <w:sz w:val="24"/>
          <w:highlight w:val="none"/>
          <w:shd w:val="clear" w:color="auto" w:fill="auto"/>
        </w:rPr>
        <w:t>)</w:t>
      </w:r>
      <w:r>
        <w:rPr>
          <w:rFonts w:hint="eastAsia" w:ascii="宋体" w:hAnsi="宋体"/>
          <w:strike w:val="0"/>
          <w:dstrike w:val="0"/>
          <w:color w:val="auto"/>
          <w:sz w:val="24"/>
          <w:highlight w:val="none"/>
          <w:shd w:val="clear" w:color="auto" w:fill="auto"/>
        </w:rPr>
        <w:t>。</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rPr>
        <w:t>3、物业管理区域清洁卫生费用。</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rPr>
        <w:t>4、物业管理区域绿化养护费用。</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rPr>
        <w:t>5、物业管理区域秩序维护费用。</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rPr>
        <w:t>6、办公费用、管理费用。</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、法定税费。</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、物业服务企业的利润。</w:t>
      </w:r>
    </w:p>
    <w:p>
      <w:pPr>
        <w:adjustRightInd w:val="0"/>
        <w:snapToGrid w:val="0"/>
        <w:spacing w:line="360" w:lineRule="auto"/>
        <w:ind w:firstLine="516" w:firstLineChars="215"/>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、其它</w:t>
      </w:r>
      <w:r>
        <w:rPr>
          <w:rFonts w:hint="eastAsia" w:ascii="宋体" w:hAnsi="宋体"/>
          <w:sz w:val="24"/>
          <w:highlight w:val="none"/>
          <w:lang w:eastAsia="zh-CN"/>
        </w:rPr>
        <w:t>因物业管理所需要支出的</w:t>
      </w:r>
      <w:r>
        <w:rPr>
          <w:rFonts w:hint="eastAsia" w:ascii="宋体" w:hAnsi="宋体"/>
          <w:sz w:val="24"/>
          <w:highlight w:val="none"/>
        </w:rPr>
        <w:t>费用。</w:t>
      </w:r>
    </w:p>
    <w:p>
      <w:pPr>
        <w:adjustRightInd w:val="0"/>
        <w:snapToGrid w:val="0"/>
        <w:spacing w:line="360" w:lineRule="auto"/>
        <w:ind w:firstLine="518" w:firstLineChars="215"/>
        <w:rPr>
          <w:rFonts w:hint="eastAsia"/>
          <w:sz w:val="24"/>
          <w:highlight w:val="none"/>
        </w:rPr>
      </w:pPr>
      <w:r>
        <w:rPr>
          <w:rFonts w:hint="eastAsia"/>
          <w:b/>
          <w:sz w:val="24"/>
          <w:highlight w:val="none"/>
        </w:rPr>
        <w:t>第十五条</w:t>
      </w:r>
      <w:r>
        <w:rPr>
          <w:b/>
          <w:sz w:val="24"/>
          <w:highlight w:val="none"/>
        </w:rPr>
        <w:t xml:space="preserve">  </w:t>
      </w:r>
      <w:r>
        <w:rPr>
          <w:rFonts w:hint="eastAsia"/>
          <w:sz w:val="24"/>
          <w:highlight w:val="none"/>
        </w:rPr>
        <w:t>前期物业服务费（包括车位费用）及运行能耗费自本物业交付约定的时间次</w:t>
      </w:r>
      <w:r>
        <w:rPr>
          <w:rFonts w:hint="eastAsia"/>
          <w:sz w:val="24"/>
          <w:highlight w:val="none"/>
          <w:lang w:val="en-US" w:eastAsia="zh-CN"/>
        </w:rPr>
        <w:t>月起</w:t>
      </w:r>
      <w:r>
        <w:rPr>
          <w:rFonts w:hint="eastAsia"/>
          <w:sz w:val="24"/>
          <w:highlight w:val="none"/>
        </w:rPr>
        <w:t>计收，前期物业服务费及运行能耗费由物业买受人缴纳。</w:t>
      </w:r>
    </w:p>
    <w:p>
      <w:pPr>
        <w:adjustRightInd w:val="0"/>
        <w:snapToGrid w:val="0"/>
        <w:spacing w:line="360" w:lineRule="auto"/>
        <w:ind w:firstLine="518" w:firstLineChars="215"/>
        <w:rPr>
          <w:rFonts w:hint="eastAsia" w:ascii="宋体" w:hAnsi="宋体"/>
          <w:sz w:val="24"/>
          <w:highlight w:val="none"/>
        </w:rPr>
      </w:pPr>
      <w:r>
        <w:rPr>
          <w:rFonts w:hint="eastAsia" w:ascii="宋体" w:hAnsi="宋体"/>
          <w:b/>
          <w:sz w:val="24"/>
          <w:highlight w:val="none"/>
        </w:rPr>
        <w:t>第十六条</w:t>
      </w:r>
      <w:r>
        <w:rPr>
          <w:rFonts w:hint="eastAsia" w:ascii="宋体" w:hAnsi="宋体"/>
          <w:sz w:val="24"/>
          <w:highlight w:val="none"/>
        </w:rPr>
        <w:t xml:space="preserve">  物业服务费每12个月预缴一次，缴纳费用时间为每12个月</w:t>
      </w:r>
      <w:r>
        <w:rPr>
          <w:rFonts w:hint="eastAsia" w:ascii="宋体" w:hAnsi="宋体"/>
          <w:sz w:val="24"/>
          <w:highlight w:val="none"/>
          <w:lang w:val="en-US" w:eastAsia="zh-CN"/>
        </w:rPr>
        <w:t>缴费周期</w:t>
      </w:r>
      <w:r>
        <w:rPr>
          <w:rFonts w:hint="eastAsia" w:ascii="宋体" w:hAnsi="宋体"/>
          <w:sz w:val="24"/>
          <w:highlight w:val="none"/>
        </w:rPr>
        <w:t>的第1个月上旬，物业买受人或物业使用人应在约定的交费时间内按时全额交费。</w:t>
      </w:r>
    </w:p>
    <w:p>
      <w:pPr>
        <w:adjustRightInd w:val="0"/>
        <w:snapToGrid w:val="0"/>
        <w:spacing w:line="360" w:lineRule="auto"/>
        <w:ind w:firstLine="518" w:firstLineChars="215"/>
        <w:rPr>
          <w:rFonts w:hint="eastAsia" w:ascii="宋体" w:hAnsi="宋体"/>
          <w:sz w:val="24"/>
          <w:highlight w:val="none"/>
        </w:rPr>
      </w:pPr>
      <w:r>
        <w:rPr>
          <w:rFonts w:hint="eastAsia" w:ascii="宋体" w:hAnsi="宋体"/>
          <w:b/>
          <w:sz w:val="24"/>
          <w:highlight w:val="none"/>
        </w:rPr>
        <w:t>第十七条</w:t>
      </w:r>
      <w:r>
        <w:rPr>
          <w:rFonts w:hint="eastAsia" w:ascii="宋体" w:hAnsi="宋体"/>
          <w:sz w:val="24"/>
          <w:highlight w:val="none"/>
        </w:rPr>
        <w:t xml:space="preserve">  物业买受人与物业使用人约定由物业使用人交纳物业服务费的，从其约定，物业买受人负连带责任。物业买受人与物业使用人之间的交费约定，物业买受人应及时书面告知乙方。</w:t>
      </w:r>
    </w:p>
    <w:p>
      <w:pPr>
        <w:adjustRightInd w:val="0"/>
        <w:snapToGrid w:val="0"/>
        <w:spacing w:line="360" w:lineRule="auto"/>
        <w:ind w:firstLine="480" w:firstLineChars="200"/>
        <w:rPr>
          <w:rFonts w:hint="eastAsia" w:ascii="宋体" w:hAnsi="宋体"/>
          <w:sz w:val="24"/>
          <w:highlight w:val="none"/>
        </w:rPr>
      </w:pPr>
    </w:p>
    <w:p>
      <w:pPr>
        <w:numPr>
          <w:ilvl w:val="0"/>
          <w:numId w:val="0"/>
        </w:numPr>
        <w:adjustRightInd w:val="0"/>
        <w:snapToGrid w:val="0"/>
        <w:spacing w:line="360" w:lineRule="auto"/>
        <w:ind w:leftChars="0"/>
        <w:jc w:val="center"/>
        <w:rPr>
          <w:rFonts w:ascii="宋体" w:hAnsi="宋体"/>
          <w:b/>
          <w:bCs/>
          <w:sz w:val="30"/>
          <w:szCs w:val="30"/>
          <w:highlight w:val="none"/>
        </w:rPr>
      </w:pPr>
      <w:r>
        <w:rPr>
          <w:rFonts w:hint="eastAsia" w:ascii="宋体" w:hAnsi="宋体"/>
          <w:b/>
          <w:bCs/>
          <w:sz w:val="30"/>
          <w:szCs w:val="30"/>
          <w:highlight w:val="none"/>
          <w:lang w:val="en-US" w:eastAsia="zh-CN"/>
        </w:rPr>
        <w:t xml:space="preserve">第六章  </w:t>
      </w:r>
      <w:r>
        <w:rPr>
          <w:rFonts w:hint="eastAsia" w:ascii="宋体" w:hAnsi="宋体"/>
          <w:b/>
          <w:bCs/>
          <w:sz w:val="30"/>
          <w:szCs w:val="30"/>
          <w:highlight w:val="none"/>
        </w:rPr>
        <w:t>物业的经营与管理</w:t>
      </w:r>
    </w:p>
    <w:p>
      <w:pPr>
        <w:adjustRightInd w:val="0"/>
        <w:snapToGrid w:val="0"/>
        <w:spacing w:line="360" w:lineRule="auto"/>
        <w:ind w:firstLine="482" w:firstLineChars="200"/>
        <w:rPr>
          <w:rFonts w:ascii="宋体" w:hAnsi="宋体"/>
          <w:sz w:val="24"/>
          <w:highlight w:val="none"/>
          <w:u w:val="single"/>
        </w:rPr>
      </w:pPr>
      <w:r>
        <w:rPr>
          <w:rFonts w:hint="eastAsia" w:ascii="宋体" w:hAnsi="宋体"/>
          <w:b/>
          <w:sz w:val="24"/>
          <w:highlight w:val="none"/>
        </w:rPr>
        <w:t>第十</w:t>
      </w:r>
      <w:r>
        <w:rPr>
          <w:rFonts w:hint="eastAsia" w:ascii="宋体" w:hAnsi="宋体"/>
          <w:b/>
          <w:sz w:val="24"/>
          <w:highlight w:val="none"/>
          <w:lang w:eastAsia="zh-CN"/>
        </w:rPr>
        <w:t>八</w:t>
      </w:r>
      <w:r>
        <w:rPr>
          <w:rFonts w:hint="eastAsia" w:ascii="宋体" w:hAnsi="宋体"/>
          <w:b/>
          <w:sz w:val="24"/>
          <w:highlight w:val="none"/>
        </w:rPr>
        <w:t>条</w:t>
      </w:r>
      <w:r>
        <w:rPr>
          <w:rFonts w:hint="eastAsia" w:ascii="宋体" w:hAnsi="宋体"/>
          <w:sz w:val="24"/>
          <w:highlight w:val="none"/>
        </w:rPr>
        <w:t xml:space="preserve">  属于全体物业买受人共有的物业管理商业用房，物业共用部位、共用设施设备，共有的场地以及物业管理区域内配套设施在业主委员会成立并签订新的物业服务合同之前由乙方经营管理，</w:t>
      </w:r>
      <w:r>
        <w:rPr>
          <w:rFonts w:hint="eastAsia" w:ascii="宋体" w:hAnsi="宋体"/>
          <w:sz w:val="24"/>
          <w:highlight w:val="none"/>
          <w:lang w:val="en-US" w:eastAsia="zh-CN"/>
        </w:rPr>
        <w:t>如产生收益则</w:t>
      </w:r>
      <w:r>
        <w:rPr>
          <w:rFonts w:hint="eastAsia" w:ascii="宋体" w:hAnsi="宋体"/>
          <w:sz w:val="24"/>
          <w:highlight w:val="none"/>
        </w:rPr>
        <w:t>用于</w:t>
      </w:r>
      <w:r>
        <w:rPr>
          <w:rFonts w:hint="eastAsia" w:ascii="宋体" w:hAnsi="宋体"/>
          <w:sz w:val="24"/>
          <w:highlight w:val="none"/>
          <w:lang w:val="en-US" w:eastAsia="zh-CN"/>
        </w:rPr>
        <w:t>本小区日常维修，并设立好账目明细，在第一届业委会成立后账目移交给业委会</w:t>
      </w:r>
      <w:r>
        <w:rPr>
          <w:rFonts w:hint="eastAsia" w:ascii="宋体" w:hAnsi="宋体"/>
          <w:sz w:val="24"/>
          <w:highlight w:val="none"/>
        </w:rPr>
        <w:t>。</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 xml:space="preserve">第十九条 </w:t>
      </w:r>
      <w:r>
        <w:rPr>
          <w:rFonts w:hint="eastAsia" w:ascii="宋体" w:hAnsi="宋体"/>
          <w:sz w:val="24"/>
          <w:highlight w:val="none"/>
        </w:rPr>
        <w:t xml:space="preserve"> 物业买受人共有的车库车位，应按照物业所在地的相关规定向乙方交纳停车费，空置车位也应当足额缴纳费用。</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第二十条</w:t>
      </w:r>
      <w:r>
        <w:rPr>
          <w:rFonts w:hint="eastAsia" w:ascii="宋体" w:hAnsi="宋体"/>
          <w:sz w:val="24"/>
          <w:highlight w:val="none"/>
        </w:rPr>
        <w:t xml:space="preserve">  乙方对本合同约定的车辆管理仅指对车辆行驶、停放秩序的管理，并不承担对车辆的保管义务。</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一</w:t>
      </w:r>
      <w:r>
        <w:rPr>
          <w:rFonts w:hint="eastAsia" w:ascii="宋体" w:hAnsi="宋体"/>
          <w:b/>
          <w:sz w:val="24"/>
          <w:highlight w:val="none"/>
        </w:rPr>
        <w:t xml:space="preserve">条 </w:t>
      </w:r>
      <w:r>
        <w:rPr>
          <w:rFonts w:hint="eastAsia" w:ascii="宋体" w:hAnsi="宋体"/>
          <w:sz w:val="24"/>
          <w:highlight w:val="none"/>
        </w:rPr>
        <w:t xml:space="preserve"> 乙方不提供对物业买受人、物业使用人、访客代为泊车的服务。乙方禁止乙方员工、秩序维护员、车辆管理人员等代为泊车。</w:t>
      </w:r>
    </w:p>
    <w:p>
      <w:pPr>
        <w:adjustRightInd w:val="0"/>
        <w:snapToGrid w:val="0"/>
        <w:spacing w:line="360" w:lineRule="auto"/>
        <w:rPr>
          <w:rFonts w:ascii="宋体" w:hAnsi="宋体"/>
          <w:sz w:val="24"/>
          <w:highlight w:val="none"/>
        </w:rPr>
      </w:pPr>
    </w:p>
    <w:p>
      <w:pPr>
        <w:numPr>
          <w:ilvl w:val="0"/>
          <w:numId w:val="0"/>
        </w:numPr>
        <w:adjustRightInd w:val="0"/>
        <w:snapToGrid w:val="0"/>
        <w:spacing w:line="360" w:lineRule="auto"/>
        <w:ind w:leftChars="0"/>
        <w:jc w:val="center"/>
        <w:rPr>
          <w:rFonts w:ascii="宋体" w:hAnsi="宋体"/>
          <w:b/>
          <w:bCs/>
          <w:sz w:val="30"/>
          <w:szCs w:val="30"/>
          <w:highlight w:val="none"/>
        </w:rPr>
      </w:pPr>
      <w:r>
        <w:rPr>
          <w:rFonts w:hint="eastAsia" w:ascii="宋体" w:hAnsi="宋体"/>
          <w:b/>
          <w:bCs/>
          <w:sz w:val="30"/>
          <w:szCs w:val="30"/>
          <w:highlight w:val="none"/>
          <w:lang w:val="en-US" w:eastAsia="zh-CN"/>
        </w:rPr>
        <w:t xml:space="preserve">第七章  </w:t>
      </w:r>
      <w:r>
        <w:rPr>
          <w:rFonts w:hint="eastAsia" w:ascii="宋体" w:hAnsi="宋体"/>
          <w:b/>
          <w:bCs/>
          <w:sz w:val="30"/>
          <w:szCs w:val="30"/>
          <w:highlight w:val="none"/>
        </w:rPr>
        <w:t>物业的使用与维护</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二</w:t>
      </w:r>
      <w:r>
        <w:rPr>
          <w:rFonts w:hint="eastAsia" w:ascii="宋体" w:hAnsi="宋体"/>
          <w:b/>
          <w:sz w:val="24"/>
          <w:highlight w:val="none"/>
        </w:rPr>
        <w:t xml:space="preserve">条  </w:t>
      </w:r>
      <w:r>
        <w:rPr>
          <w:rFonts w:hint="eastAsia" w:ascii="宋体" w:hAnsi="宋体"/>
          <w:sz w:val="24"/>
          <w:highlight w:val="none"/>
        </w:rPr>
        <w:t>本物业管理区域内物业共用部位和共用设施设备的使用、公共秩序和环境卫生的维护等方面的规章制度，由乙方制定后生效。</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乙方根据规章制度提供管理服务时，物业买受人和物业使用人应给予配合。</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三</w:t>
      </w:r>
      <w:r>
        <w:rPr>
          <w:rFonts w:hint="eastAsia" w:ascii="宋体" w:hAnsi="宋体"/>
          <w:b/>
          <w:sz w:val="24"/>
          <w:highlight w:val="none"/>
        </w:rPr>
        <w:t>条</w:t>
      </w:r>
      <w:r>
        <w:rPr>
          <w:rFonts w:hint="eastAsia" w:ascii="宋体" w:hAnsi="宋体"/>
          <w:sz w:val="24"/>
          <w:highlight w:val="none"/>
        </w:rPr>
        <w:t xml:space="preserve">  乙方可采取劝告等必要措施，制止物业买受人、物业使用人违反本合同和物业管理区域内物业管理规章制度的行为。</w:t>
      </w:r>
    </w:p>
    <w:p>
      <w:pPr>
        <w:adjustRightInd w:val="0"/>
        <w:snapToGrid w:val="0"/>
        <w:spacing w:line="360" w:lineRule="auto"/>
        <w:ind w:firstLine="472" w:firstLineChars="196"/>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四</w:t>
      </w:r>
      <w:r>
        <w:rPr>
          <w:rFonts w:hint="eastAsia" w:ascii="宋体" w:hAnsi="宋体"/>
          <w:b/>
          <w:sz w:val="24"/>
          <w:highlight w:val="none"/>
        </w:rPr>
        <w:t>条</w:t>
      </w:r>
      <w:r>
        <w:rPr>
          <w:rFonts w:hint="eastAsia" w:ascii="宋体" w:hAnsi="宋体"/>
          <w:sz w:val="24"/>
          <w:highlight w:val="none"/>
        </w:rPr>
        <w:t xml:space="preserve">  乙方应及时向全体物业买受人通告本物业管理区域内有关物业管理的重大事项，及时处理物业买受人和物业使用人的投诉。</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五</w:t>
      </w:r>
      <w:r>
        <w:rPr>
          <w:rFonts w:hint="eastAsia" w:ascii="宋体" w:hAnsi="宋体"/>
          <w:b/>
          <w:sz w:val="24"/>
          <w:highlight w:val="none"/>
        </w:rPr>
        <w:t>条</w:t>
      </w:r>
      <w:r>
        <w:rPr>
          <w:rFonts w:hint="eastAsia" w:ascii="宋体" w:hAnsi="宋体"/>
          <w:sz w:val="24"/>
          <w:highlight w:val="none"/>
        </w:rPr>
        <w:t xml:space="preserve">  因维修物业或者公共利益，甲方、物业买受人确需临时占用、挖掘本物业管理区域内道路、场地的，应征得相关物业买受人（拆迁安置人）和乙方的同意；乙方确需临时占用、挖掘本物业管理区域内道路、场地的，应征得相关物业买受人和甲方的同意。</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临时占用、挖掘本物业管理区域内道路、场地的，应在约定期限内恢复原状，造成损失的，应予以赔偿。</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六</w:t>
      </w:r>
      <w:r>
        <w:rPr>
          <w:rFonts w:hint="eastAsia" w:ascii="宋体" w:hAnsi="宋体"/>
          <w:b/>
          <w:sz w:val="24"/>
          <w:highlight w:val="none"/>
        </w:rPr>
        <w:t>条</w:t>
      </w:r>
      <w:r>
        <w:rPr>
          <w:rFonts w:hint="eastAsia" w:ascii="宋体" w:hAnsi="宋体"/>
          <w:sz w:val="24"/>
          <w:highlight w:val="none"/>
        </w:rPr>
        <w:t xml:space="preserve">  乙方与装饰装修房屋的物业买受人或物业使用人应签订书面的装饰装修管理服务协议，就允许施工的时间、废弃物的清运与处置、装修管理服务费用等事项进行约定，并事先告知物业买受人或物业使用人装饰装修中的禁止行为和注意事项。</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第二十</w:t>
      </w:r>
      <w:r>
        <w:rPr>
          <w:rFonts w:hint="eastAsia" w:ascii="宋体" w:hAnsi="宋体"/>
          <w:b/>
          <w:sz w:val="24"/>
          <w:highlight w:val="none"/>
          <w:lang w:eastAsia="zh-CN"/>
        </w:rPr>
        <w:t>七</w:t>
      </w:r>
      <w:r>
        <w:rPr>
          <w:rFonts w:hint="eastAsia" w:ascii="宋体" w:hAnsi="宋体"/>
          <w:b/>
          <w:sz w:val="24"/>
          <w:highlight w:val="none"/>
        </w:rPr>
        <w:t xml:space="preserve">条 </w:t>
      </w:r>
      <w:r>
        <w:rPr>
          <w:rFonts w:hint="eastAsia" w:ascii="宋体" w:hAnsi="宋体"/>
          <w:sz w:val="24"/>
          <w:highlight w:val="none"/>
        </w:rPr>
        <w:t xml:space="preserve"> 物业管理用房产权属全体物业买受人所有，乙方在本合同期限内无偿使用。</w:t>
      </w:r>
    </w:p>
    <w:p>
      <w:pPr>
        <w:adjustRightInd w:val="0"/>
        <w:snapToGrid w:val="0"/>
        <w:spacing w:line="360" w:lineRule="auto"/>
        <w:rPr>
          <w:rFonts w:ascii="宋体" w:hAnsi="宋体"/>
          <w:sz w:val="24"/>
          <w:highlight w:val="none"/>
        </w:rPr>
      </w:pPr>
    </w:p>
    <w:p>
      <w:pPr>
        <w:adjustRightInd w:val="0"/>
        <w:snapToGrid w:val="0"/>
        <w:spacing w:line="360" w:lineRule="auto"/>
        <w:jc w:val="center"/>
        <w:rPr>
          <w:rFonts w:ascii="宋体" w:hAnsi="宋体"/>
          <w:b/>
          <w:sz w:val="30"/>
          <w:szCs w:val="30"/>
          <w:highlight w:val="none"/>
        </w:rPr>
      </w:pPr>
      <w:r>
        <w:rPr>
          <w:rFonts w:hint="eastAsia" w:ascii="宋体" w:hAnsi="宋体"/>
          <w:b/>
          <w:sz w:val="30"/>
          <w:szCs w:val="30"/>
          <w:highlight w:val="none"/>
        </w:rPr>
        <w:t>第八章  物业维修经费</w:t>
      </w:r>
    </w:p>
    <w:p>
      <w:pPr>
        <w:adjustRightInd w:val="0"/>
        <w:snapToGrid w:val="0"/>
        <w:spacing w:line="360" w:lineRule="auto"/>
        <w:ind w:firstLine="480"/>
        <w:rPr>
          <w:rFonts w:ascii="宋体" w:hAnsi="宋体"/>
          <w:strike w:val="0"/>
          <w:sz w:val="24"/>
          <w:highlight w:val="none"/>
        </w:rPr>
      </w:pPr>
      <w:r>
        <w:rPr>
          <w:rFonts w:hint="eastAsia" w:ascii="宋体" w:hAnsi="宋体"/>
          <w:b/>
          <w:sz w:val="24"/>
          <w:highlight w:val="none"/>
        </w:rPr>
        <w:t>第二十</w:t>
      </w:r>
      <w:r>
        <w:rPr>
          <w:rFonts w:hint="eastAsia" w:ascii="宋体" w:hAnsi="宋体"/>
          <w:b/>
          <w:sz w:val="24"/>
          <w:highlight w:val="none"/>
          <w:lang w:eastAsia="zh-CN"/>
        </w:rPr>
        <w:t>八</w:t>
      </w:r>
      <w:r>
        <w:rPr>
          <w:rFonts w:hint="eastAsia" w:ascii="宋体" w:hAnsi="宋体"/>
          <w:b/>
          <w:sz w:val="24"/>
          <w:highlight w:val="none"/>
        </w:rPr>
        <w:t xml:space="preserve">条 </w:t>
      </w:r>
      <w:r>
        <w:rPr>
          <w:rFonts w:hint="eastAsia" w:ascii="宋体" w:hAnsi="宋体"/>
          <w:sz w:val="24"/>
          <w:highlight w:val="none"/>
        </w:rPr>
        <w:t xml:space="preserve"> 本物业专项维修资金的缴存、管理、使用和续筹根据《浙江省物业管理条例》、《温州市物业</w:t>
      </w:r>
      <w:r>
        <w:rPr>
          <w:rFonts w:hint="eastAsia" w:ascii="宋体" w:hAnsi="宋体"/>
          <w:sz w:val="24"/>
          <w:highlight w:val="none"/>
          <w:lang w:val="en-US" w:eastAsia="zh-CN"/>
        </w:rPr>
        <w:t>专项</w:t>
      </w:r>
      <w:r>
        <w:rPr>
          <w:rFonts w:hint="eastAsia" w:ascii="宋体" w:hAnsi="宋体"/>
          <w:sz w:val="24"/>
          <w:highlight w:val="none"/>
        </w:rPr>
        <w:t>维修资金管理办法》及浙江省、温州市政府部门有关规定执行。</w:t>
      </w:r>
      <w:r>
        <w:rPr>
          <w:rFonts w:hint="eastAsia" w:ascii="宋体" w:hAnsi="宋体"/>
          <w:strike w:val="0"/>
          <w:sz w:val="24"/>
          <w:highlight w:val="none"/>
        </w:rPr>
        <w:t>物业共用部位、共用设施设备中修以上（包括中修）维修、更新、改造费用在专项维修资金中列支。</w:t>
      </w:r>
    </w:p>
    <w:p>
      <w:pPr>
        <w:adjustRightInd w:val="0"/>
        <w:snapToGrid w:val="0"/>
        <w:spacing w:line="360" w:lineRule="auto"/>
        <w:jc w:val="both"/>
        <w:rPr>
          <w:rFonts w:ascii="宋体" w:hAnsi="宋体"/>
          <w:b/>
          <w:bCs/>
          <w:sz w:val="24"/>
          <w:highlight w:val="none"/>
        </w:rPr>
      </w:pPr>
    </w:p>
    <w:p>
      <w:pPr>
        <w:adjustRightInd w:val="0"/>
        <w:snapToGrid w:val="0"/>
        <w:spacing w:line="360" w:lineRule="auto"/>
        <w:jc w:val="center"/>
        <w:rPr>
          <w:rFonts w:ascii="宋体" w:hAnsi="宋体"/>
          <w:b/>
          <w:bCs/>
          <w:sz w:val="30"/>
          <w:szCs w:val="30"/>
          <w:highlight w:val="none"/>
        </w:rPr>
      </w:pPr>
      <w:r>
        <w:rPr>
          <w:rFonts w:hint="eastAsia" w:ascii="宋体" w:hAnsi="宋体"/>
          <w:b/>
          <w:bCs/>
          <w:sz w:val="30"/>
          <w:szCs w:val="30"/>
          <w:highlight w:val="none"/>
        </w:rPr>
        <w:t>第九章  违约责任</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w:t>
      </w:r>
      <w:r>
        <w:rPr>
          <w:rFonts w:hint="eastAsia" w:ascii="宋体" w:hAnsi="宋体"/>
          <w:b/>
          <w:bCs/>
          <w:sz w:val="24"/>
          <w:highlight w:val="none"/>
          <w:lang w:eastAsia="zh-CN"/>
        </w:rPr>
        <w:t>二十九</w:t>
      </w:r>
      <w:r>
        <w:rPr>
          <w:rFonts w:hint="eastAsia" w:ascii="宋体" w:hAnsi="宋体"/>
          <w:b/>
          <w:bCs/>
          <w:sz w:val="24"/>
          <w:highlight w:val="none"/>
        </w:rPr>
        <w:t>条</w:t>
      </w:r>
      <w:r>
        <w:rPr>
          <w:rFonts w:hint="eastAsia" w:ascii="宋体" w:hAnsi="宋体"/>
          <w:sz w:val="24"/>
          <w:highlight w:val="none"/>
        </w:rPr>
        <w:t xml:space="preserve">  甲乙双方任何一方无法律依据提前解除合同的，造成对方经济损失的，应给予经济赔偿。</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 xml:space="preserve">第三十条  </w:t>
      </w:r>
      <w:r>
        <w:rPr>
          <w:rFonts w:hint="eastAsia" w:ascii="宋体" w:hAnsi="宋体"/>
          <w:sz w:val="24"/>
          <w:highlight w:val="none"/>
        </w:rPr>
        <w:t>甲方违反本合同的约定，使乙方未完成规定管理目标的，乙方有权要求甲方在一定期限内解决。逾期未解决的，乙方有权终止本合同；造成乙方经济损失的，甲方应给予乙方经济赔偿。</w:t>
      </w:r>
    </w:p>
    <w:p>
      <w:pPr>
        <w:spacing w:line="360" w:lineRule="auto"/>
        <w:ind w:firstLine="482" w:firstLineChars="200"/>
        <w:rPr>
          <w:rFonts w:ascii="宋体" w:hAnsi="宋体"/>
          <w:sz w:val="24"/>
          <w:highlight w:val="none"/>
        </w:rPr>
      </w:pPr>
      <w:r>
        <w:rPr>
          <w:rFonts w:hint="eastAsia" w:ascii="宋体" w:hAnsi="宋体"/>
          <w:b/>
          <w:bCs/>
          <w:sz w:val="24"/>
          <w:highlight w:val="none"/>
        </w:rPr>
        <w:t>第三十</w:t>
      </w:r>
      <w:r>
        <w:rPr>
          <w:rFonts w:hint="eastAsia" w:ascii="宋体" w:hAnsi="宋体"/>
          <w:b/>
          <w:bCs/>
          <w:sz w:val="24"/>
          <w:highlight w:val="none"/>
          <w:lang w:eastAsia="zh-CN"/>
        </w:rPr>
        <w:t>一</w:t>
      </w:r>
      <w:r>
        <w:rPr>
          <w:rFonts w:hint="eastAsia" w:ascii="宋体" w:hAnsi="宋体"/>
          <w:b/>
          <w:bCs/>
          <w:sz w:val="24"/>
          <w:highlight w:val="none"/>
        </w:rPr>
        <w:t xml:space="preserve">条  </w:t>
      </w:r>
      <w:r>
        <w:rPr>
          <w:rFonts w:hint="eastAsia" w:ascii="宋体" w:hAnsi="宋体" w:eastAsia="宋体" w:cs="Times New Roman"/>
          <w:color w:val="FF0000"/>
          <w:sz w:val="24"/>
          <w:highlight w:val="none"/>
          <w:lang w:eastAsia="zh-CN"/>
        </w:rPr>
        <w:t>甲方委托第三方根据</w:t>
      </w:r>
      <w:r>
        <w:rPr>
          <w:rFonts w:hint="eastAsia" w:ascii="宋体" w:hAnsi="宋体" w:eastAsia="宋体" w:cs="Times New Roman"/>
          <w:color w:val="FF0000"/>
          <w:sz w:val="24"/>
          <w:highlight w:val="none"/>
        </w:rPr>
        <w:t>《住宅物业套餐式服务评分标准》</w:t>
      </w:r>
      <w:r>
        <w:rPr>
          <w:rFonts w:hint="eastAsia" w:ascii="宋体" w:hAnsi="宋体" w:eastAsia="宋体" w:cs="Times New Roman"/>
          <w:color w:val="FF0000"/>
          <w:sz w:val="24"/>
          <w:highlight w:val="none"/>
          <w:lang w:eastAsia="zh-CN"/>
        </w:rPr>
        <w:t>对乙方管理服务进行打分，</w:t>
      </w:r>
      <w:r>
        <w:rPr>
          <w:rFonts w:hint="eastAsia" w:ascii="宋体" w:hAnsi="宋体" w:eastAsia="宋体" w:cs="Times New Roman"/>
          <w:color w:val="FF0000"/>
          <w:sz w:val="24"/>
          <w:highlight w:val="none"/>
        </w:rPr>
        <w:t>乙方的管理服务达不到《住宅物业套餐式服务评分标准》约定的服务内容和标准的，甲方给予指定整改期</w:t>
      </w:r>
      <w:r>
        <w:rPr>
          <w:rFonts w:hint="eastAsia" w:ascii="宋体" w:hAnsi="宋体" w:eastAsia="宋体" w:cs="Times New Roman"/>
          <w:color w:val="FF0000"/>
          <w:sz w:val="24"/>
          <w:highlight w:val="none"/>
          <w:lang w:eastAsia="zh-CN"/>
        </w:rPr>
        <w:t>，</w:t>
      </w:r>
      <w:r>
        <w:rPr>
          <w:rFonts w:hint="eastAsia" w:ascii="宋体" w:hAnsi="宋体" w:eastAsia="宋体" w:cs="Times New Roman"/>
          <w:b/>
          <w:bCs/>
          <w:color w:val="FF0000"/>
          <w:sz w:val="24"/>
          <w:highlight w:val="none"/>
          <w:lang w:val="en-US" w:eastAsia="zh-CN"/>
        </w:rPr>
        <w:t>并按收取物业费总</w:t>
      </w:r>
      <w:r>
        <w:rPr>
          <w:rFonts w:hint="eastAsia" w:ascii="宋体" w:hAnsi="宋体" w:eastAsia="宋体" w:cs="Times New Roman"/>
          <w:b/>
          <w:bCs/>
          <w:color w:val="FF0000"/>
          <w:sz w:val="24"/>
          <w:highlight w:val="none"/>
          <w:lang w:eastAsia="zh-CN"/>
        </w:rPr>
        <w:t>金额万分之五支付违约金</w:t>
      </w:r>
      <w:r>
        <w:rPr>
          <w:rFonts w:hint="eastAsia" w:ascii="宋体" w:hAnsi="宋体" w:eastAsia="宋体" w:cs="Times New Roman"/>
          <w:color w:val="FF0000"/>
          <w:sz w:val="24"/>
          <w:highlight w:val="none"/>
        </w:rPr>
        <w:t>。整改期满后仍不达标的</w:t>
      </w:r>
      <w:r>
        <w:rPr>
          <w:rFonts w:hint="eastAsia" w:ascii="宋体" w:hAnsi="宋体" w:eastAsia="宋体" w:cs="Times New Roman"/>
          <w:color w:val="FF0000"/>
          <w:sz w:val="24"/>
          <w:highlight w:val="none"/>
          <w:lang w:eastAsia="zh-CN"/>
        </w:rPr>
        <w:t>（低于</w:t>
      </w:r>
      <w:r>
        <w:rPr>
          <w:rFonts w:hint="eastAsia" w:ascii="宋体" w:hAnsi="宋体" w:eastAsia="宋体" w:cs="Times New Roman"/>
          <w:color w:val="FF0000"/>
          <w:sz w:val="24"/>
          <w:highlight w:val="none"/>
          <w:lang w:val="en-US" w:eastAsia="zh-CN"/>
        </w:rPr>
        <w:t>60分）</w:t>
      </w:r>
      <w:r>
        <w:rPr>
          <w:rFonts w:hint="eastAsia" w:ascii="宋体" w:hAnsi="宋体" w:eastAsia="宋体" w:cs="Times New Roman"/>
          <w:color w:val="FF0000"/>
          <w:sz w:val="24"/>
          <w:highlight w:val="none"/>
        </w:rPr>
        <w:t>，累计达到三次整改甲方仍不满意的，甲方有权单方面提前解除合同，相关风险和损失由乙方承担。</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第三十</w:t>
      </w:r>
      <w:r>
        <w:rPr>
          <w:rFonts w:hint="eastAsia" w:ascii="宋体" w:hAnsi="宋体"/>
          <w:b/>
          <w:bCs/>
          <w:sz w:val="24"/>
          <w:highlight w:val="none"/>
          <w:lang w:eastAsia="zh-CN"/>
        </w:rPr>
        <w:t>二</w:t>
      </w:r>
      <w:r>
        <w:rPr>
          <w:rFonts w:hint="eastAsia" w:ascii="宋体" w:hAnsi="宋体"/>
          <w:b/>
          <w:bCs/>
          <w:sz w:val="24"/>
          <w:highlight w:val="none"/>
        </w:rPr>
        <w:t xml:space="preserve">条  </w:t>
      </w:r>
      <w:r>
        <w:rPr>
          <w:rFonts w:hint="eastAsia" w:ascii="宋体" w:hAnsi="宋体"/>
          <w:sz w:val="24"/>
          <w:highlight w:val="none"/>
        </w:rPr>
        <w:t>物业买受人或物业使用人违反本合同约定，逾期支付前期物业服务费（包括公共能耗和二次供水费用）的，乙方有权要求物业买受人或物业使用人支付，并按应付金额每日</w:t>
      </w:r>
      <w:r>
        <w:rPr>
          <w:rFonts w:hint="eastAsia" w:ascii="宋体" w:hAnsi="宋体"/>
          <w:sz w:val="24"/>
          <w:highlight w:val="none"/>
          <w:lang w:eastAsia="zh-CN"/>
        </w:rPr>
        <w:t>万分之五</w:t>
      </w:r>
      <w:r>
        <w:rPr>
          <w:rFonts w:hint="eastAsia" w:ascii="宋体" w:hAnsi="宋体"/>
          <w:sz w:val="24"/>
          <w:highlight w:val="none"/>
        </w:rPr>
        <w:t>支付违约金。</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第三十</w:t>
      </w:r>
      <w:r>
        <w:rPr>
          <w:rFonts w:hint="eastAsia" w:ascii="宋体" w:hAnsi="宋体"/>
          <w:b/>
          <w:sz w:val="24"/>
          <w:highlight w:val="none"/>
          <w:lang w:eastAsia="zh-CN"/>
        </w:rPr>
        <w:t>三</w:t>
      </w:r>
      <w:r>
        <w:rPr>
          <w:rFonts w:hint="eastAsia" w:ascii="宋体" w:hAnsi="宋体"/>
          <w:b/>
          <w:sz w:val="24"/>
          <w:highlight w:val="none"/>
        </w:rPr>
        <w:t xml:space="preserve">条  </w:t>
      </w:r>
      <w:r>
        <w:rPr>
          <w:rFonts w:hint="eastAsia" w:ascii="宋体" w:hAnsi="宋体"/>
          <w:sz w:val="24"/>
          <w:highlight w:val="none"/>
        </w:rPr>
        <w:t>乙方违反本合同约定，擅自提高收费标准的，甲方有权要求乙方清退；并按多收金额每日</w:t>
      </w:r>
      <w:r>
        <w:rPr>
          <w:rFonts w:hint="eastAsia" w:ascii="宋体" w:hAnsi="宋体"/>
          <w:sz w:val="24"/>
          <w:highlight w:val="none"/>
          <w:lang w:eastAsia="zh-CN"/>
        </w:rPr>
        <w:t>万分之五</w:t>
      </w:r>
      <w:r>
        <w:rPr>
          <w:rFonts w:hint="eastAsia" w:ascii="宋体" w:hAnsi="宋体"/>
          <w:sz w:val="24"/>
          <w:highlight w:val="none"/>
        </w:rPr>
        <w:t>支付违约金。</w:t>
      </w:r>
    </w:p>
    <w:p>
      <w:pPr>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第三十</w:t>
      </w:r>
      <w:r>
        <w:rPr>
          <w:rFonts w:hint="eastAsia" w:ascii="宋体" w:hAnsi="宋体"/>
          <w:b/>
          <w:sz w:val="24"/>
          <w:highlight w:val="none"/>
          <w:lang w:eastAsia="zh-CN"/>
        </w:rPr>
        <w:t>四</w:t>
      </w:r>
      <w:r>
        <w:rPr>
          <w:rFonts w:hint="eastAsia" w:ascii="宋体" w:hAnsi="宋体"/>
          <w:b/>
          <w:sz w:val="24"/>
          <w:highlight w:val="none"/>
        </w:rPr>
        <w:t>条</w:t>
      </w:r>
      <w:r>
        <w:rPr>
          <w:rFonts w:hint="eastAsia" w:ascii="宋体" w:hAnsi="宋体"/>
          <w:sz w:val="24"/>
          <w:highlight w:val="none"/>
        </w:rPr>
        <w:t xml:space="preserve">  甲方、物业买受人或物业使用人损害物业共用部位、共用设施和物业管理区域内的配套设施，应向权利人承担赔偿责任。</w:t>
      </w:r>
    </w:p>
    <w:p>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第三十</w:t>
      </w:r>
      <w:r>
        <w:rPr>
          <w:rFonts w:hint="eastAsia" w:ascii="宋体" w:hAnsi="宋体"/>
          <w:b/>
          <w:bCs/>
          <w:sz w:val="24"/>
          <w:highlight w:val="none"/>
          <w:lang w:eastAsia="zh-CN"/>
        </w:rPr>
        <w:t>五</w:t>
      </w:r>
      <w:r>
        <w:rPr>
          <w:rFonts w:hint="eastAsia" w:ascii="宋体" w:hAnsi="宋体"/>
          <w:b/>
          <w:bCs/>
          <w:sz w:val="24"/>
          <w:highlight w:val="none"/>
        </w:rPr>
        <w:t xml:space="preserve">条  </w:t>
      </w:r>
      <w:r>
        <w:rPr>
          <w:rFonts w:hint="eastAsia" w:ascii="宋体" w:hAnsi="宋体"/>
          <w:sz w:val="24"/>
          <w:highlight w:val="none"/>
        </w:rPr>
        <w:t>甲方不得因有利于物业销售擅自向物业买受人承诺物业管理服务收费标准，否则，由甲方向乙方作出补偿。</w:t>
      </w:r>
    </w:p>
    <w:p>
      <w:pPr>
        <w:adjustRightInd w:val="0"/>
        <w:snapToGrid w:val="0"/>
        <w:spacing w:line="360" w:lineRule="auto"/>
        <w:ind w:firstLine="472" w:firstLineChars="196"/>
        <w:rPr>
          <w:rFonts w:ascii="宋体" w:hAnsi="宋体"/>
          <w:sz w:val="24"/>
          <w:highlight w:val="none"/>
        </w:rPr>
      </w:pPr>
      <w:r>
        <w:rPr>
          <w:rFonts w:hint="eastAsia" w:ascii="宋体" w:hAnsi="宋体"/>
          <w:b/>
          <w:sz w:val="24"/>
          <w:highlight w:val="none"/>
        </w:rPr>
        <w:t>第三十</w:t>
      </w:r>
      <w:r>
        <w:rPr>
          <w:rFonts w:hint="eastAsia" w:ascii="宋体" w:hAnsi="宋体"/>
          <w:b/>
          <w:sz w:val="24"/>
          <w:highlight w:val="none"/>
          <w:lang w:eastAsia="zh-CN"/>
        </w:rPr>
        <w:t>六</w:t>
      </w:r>
      <w:r>
        <w:rPr>
          <w:rFonts w:hint="eastAsia" w:ascii="宋体" w:hAnsi="宋体"/>
          <w:b/>
          <w:sz w:val="24"/>
          <w:highlight w:val="none"/>
        </w:rPr>
        <w:t xml:space="preserve">条 </w:t>
      </w:r>
      <w:r>
        <w:rPr>
          <w:rFonts w:hint="eastAsia" w:ascii="宋体" w:hAnsi="宋体"/>
          <w:sz w:val="24"/>
          <w:highlight w:val="none"/>
        </w:rPr>
        <w:t xml:space="preserve"> 双方约定因为下列事由所导致的损害，不论其为直接或间接，均构成对乙方的免责事由，即乙方均不负赔偿责任：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1、因天灾、地震等不可抗力之事及非乙方能够控制的其它事由，包括但不限于政府行为或政策法规变动等所导致的损害。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2、在本物业内发生治安或刑事案件包括但不限于暴动、抢劫、破坏、爆炸、火灾等事由所导致的损害，但因乙方故意或过失所导致，不在此限。</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3、因甲方、物业买受人或第三者故意或过失所导致的，或物业买受人、使用人违反本合同、临时管理规约和其它物业管理服务规定所导致的一切相关损害。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4、非因乙方违反本合同义务，物业买受人专有及约定专用部分的火灾、盗窃等治安、刑事案件所导致的损害。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5、乙方已履行本合同约定义务，但因物业本身固有瑕疵造成损失的。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6、因维修养护物业共用部位、共用设施设备需要而且事先已经告知物业买受人和物业使用人，暂时停水、停电、停止共用设施设备使用等造成损失的。</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7、因非乙方责任出现供水、供电、供气、供热、通讯、有线电视及其他共用设施设备运行障碍造成损失的，如若因乙方不作为造成连续发生不能正常供水、供电等的不在此列。</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8、乙方书面建议改善自用、共用及约定共用部分设施或改进管理措施，而甲方未采纳所导致的损害。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9、自物业买受人迟延给付服务费用至清偿日期间（含票据未兑现部分）产生的任何损害。</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10、因本物业区域内车辆被窃、被破坏或车内财物被窃而产生的相关损失。但因乙方违反本合同义务而导致以上事故者除外。</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11、甲方或物业买受人、物业使用人未经乙方同意，擅自委托乙方工作人员提供服务所导致的任何损害（如代为泊车等）。</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12、物业服务区域内发生的车辆毁损、灭失，财物被盗等财产损失，或人身伤亡事件的，由责任方承担刑事或民事责任，乙方不承担责任；但是，如果该损失是因乙方及其工作人员故意或重大过失造成的，乙方应</w:t>
      </w:r>
      <w:r>
        <w:rPr>
          <w:rFonts w:hint="eastAsia" w:ascii="宋体" w:hAnsi="宋体"/>
          <w:sz w:val="24"/>
          <w:highlight w:val="none"/>
          <w:lang w:val="en-US" w:eastAsia="zh-CN"/>
        </w:rPr>
        <w:t>按照实际损失</w:t>
      </w:r>
      <w:r>
        <w:rPr>
          <w:rFonts w:hint="eastAsia" w:ascii="宋体" w:hAnsi="宋体"/>
          <w:sz w:val="24"/>
          <w:highlight w:val="none"/>
        </w:rPr>
        <w:t>承担相应的赔偿责任。</w:t>
      </w:r>
    </w:p>
    <w:p>
      <w:pPr>
        <w:adjustRightInd w:val="0"/>
        <w:snapToGrid w:val="0"/>
        <w:spacing w:line="360" w:lineRule="auto"/>
        <w:jc w:val="center"/>
        <w:rPr>
          <w:rFonts w:ascii="宋体" w:hAnsi="宋体"/>
          <w:sz w:val="24"/>
          <w:highlight w:val="none"/>
        </w:rPr>
      </w:pPr>
    </w:p>
    <w:p>
      <w:pPr>
        <w:adjustRightInd w:val="0"/>
        <w:snapToGrid w:val="0"/>
        <w:spacing w:line="360" w:lineRule="auto"/>
        <w:jc w:val="center"/>
        <w:rPr>
          <w:rFonts w:ascii="宋体" w:hAnsi="宋体"/>
          <w:sz w:val="30"/>
          <w:szCs w:val="30"/>
          <w:highlight w:val="none"/>
        </w:rPr>
      </w:pPr>
      <w:r>
        <w:rPr>
          <w:rFonts w:hint="eastAsia" w:ascii="宋体" w:hAnsi="宋体"/>
          <w:b/>
          <w:bCs/>
          <w:sz w:val="30"/>
          <w:szCs w:val="30"/>
          <w:highlight w:val="none"/>
        </w:rPr>
        <w:t>第十章   附    则</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第三十</w:t>
      </w:r>
      <w:r>
        <w:rPr>
          <w:rFonts w:hint="eastAsia" w:ascii="宋体" w:hAnsi="宋体"/>
          <w:b/>
          <w:bCs/>
          <w:sz w:val="24"/>
          <w:highlight w:val="none"/>
          <w:lang w:eastAsia="zh-CN"/>
        </w:rPr>
        <w:t>七</w:t>
      </w:r>
      <w:r>
        <w:rPr>
          <w:rFonts w:hint="eastAsia" w:ascii="宋体" w:hAnsi="宋体"/>
          <w:b/>
          <w:bCs/>
          <w:sz w:val="24"/>
          <w:highlight w:val="none"/>
        </w:rPr>
        <w:t xml:space="preserve">条  </w:t>
      </w:r>
      <w:r>
        <w:rPr>
          <w:rFonts w:hint="eastAsia" w:ascii="宋体" w:hAnsi="宋体"/>
          <w:sz w:val="24"/>
          <w:highlight w:val="none"/>
        </w:rPr>
        <w:t>在物业交付使用前90日内，甲方应按照乙方制定的共用设施设备系统接管验收规程配合乙方对物业共用部位、共用设施设备进行查验，查验中发现的问题甲方应及时予以解决。对于查验中的问题（含工程遗留问题等）及解决办法等，甲、乙双方在《物业承接验收确认书》予以明确。</w:t>
      </w:r>
    </w:p>
    <w:p>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第三十</w:t>
      </w:r>
      <w:r>
        <w:rPr>
          <w:rFonts w:hint="eastAsia" w:ascii="宋体" w:hAnsi="宋体"/>
          <w:b/>
          <w:bCs/>
          <w:sz w:val="24"/>
          <w:highlight w:val="none"/>
          <w:lang w:eastAsia="zh-CN"/>
        </w:rPr>
        <w:t>八</w:t>
      </w:r>
      <w:r>
        <w:rPr>
          <w:rFonts w:hint="eastAsia" w:ascii="宋体" w:hAnsi="宋体"/>
          <w:b/>
          <w:bCs/>
          <w:sz w:val="24"/>
          <w:highlight w:val="none"/>
        </w:rPr>
        <w:t xml:space="preserve">条  </w:t>
      </w:r>
      <w:r>
        <w:rPr>
          <w:rFonts w:hint="eastAsia" w:ascii="宋体" w:hAnsi="宋体"/>
          <w:sz w:val="24"/>
          <w:highlight w:val="none"/>
        </w:rPr>
        <w:t>为维护公众、物业买受人、物业使用人的切身利益，在不可预见情况下，如发生煤气泄漏、漏电、火灾、水管破裂、救助人命、协助公安机关执行任务等突发事件，甲方和物业买受人、物业使用人应积极配合乙方对上述灾害发生时所采取的紧急避险措施。</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w:t>
      </w:r>
      <w:r>
        <w:rPr>
          <w:rFonts w:hint="eastAsia" w:ascii="宋体" w:hAnsi="宋体"/>
          <w:b/>
          <w:bCs/>
          <w:sz w:val="24"/>
          <w:highlight w:val="none"/>
          <w:lang w:eastAsia="zh-CN"/>
        </w:rPr>
        <w:t>三十九</w:t>
      </w:r>
      <w:r>
        <w:rPr>
          <w:rFonts w:hint="eastAsia" w:ascii="宋体" w:hAnsi="宋体"/>
          <w:b/>
          <w:bCs/>
          <w:sz w:val="24"/>
          <w:highlight w:val="none"/>
        </w:rPr>
        <w:t>条</w:t>
      </w:r>
      <w:r>
        <w:rPr>
          <w:rFonts w:hint="eastAsia" w:ascii="宋体" w:hAnsi="宋体"/>
          <w:sz w:val="24"/>
          <w:highlight w:val="none"/>
        </w:rPr>
        <w:t xml:space="preserve">  房屋因建造质量、设备设施质量或安装技术等原因，达不到使用功能、造成重大事故的，由甲方、施工单位和设备生产安装部门等相应责任单位承担责任并作善后处理。产生质量事故的直接原因，以政府相关行业主管部门的鉴定为准。</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第四十条</w:t>
      </w:r>
      <w:r>
        <w:rPr>
          <w:rFonts w:hint="eastAsia" w:ascii="宋体" w:hAnsi="宋体"/>
          <w:sz w:val="24"/>
          <w:highlight w:val="none"/>
        </w:rPr>
        <w:t xml:space="preserve">  双方可对本合同的条款进行补充，以书面形式签订补充协议，补充协议与合同具有同等法律效力。</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第四十</w:t>
      </w:r>
      <w:r>
        <w:rPr>
          <w:rFonts w:hint="eastAsia" w:ascii="宋体" w:hAnsi="宋体"/>
          <w:b/>
          <w:bCs/>
          <w:sz w:val="24"/>
          <w:highlight w:val="none"/>
          <w:lang w:eastAsia="zh-CN"/>
        </w:rPr>
        <w:t>一</w:t>
      </w:r>
      <w:r>
        <w:rPr>
          <w:rFonts w:hint="eastAsia" w:ascii="宋体" w:hAnsi="宋体"/>
          <w:b/>
          <w:bCs/>
          <w:sz w:val="24"/>
          <w:highlight w:val="none"/>
        </w:rPr>
        <w:t>条</w:t>
      </w:r>
      <w:r>
        <w:rPr>
          <w:rFonts w:hint="eastAsia" w:ascii="宋体" w:hAnsi="宋体"/>
          <w:sz w:val="24"/>
          <w:highlight w:val="none"/>
        </w:rPr>
        <w:t xml:space="preserve">  本合同在履行中如发生争议，双方应协商解决，如协商不成时，可提请本物业所在地人民法院裁决。</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第四十</w:t>
      </w:r>
      <w:r>
        <w:rPr>
          <w:rFonts w:hint="eastAsia" w:ascii="宋体" w:hAnsi="宋体"/>
          <w:b/>
          <w:bCs/>
          <w:sz w:val="24"/>
          <w:highlight w:val="none"/>
          <w:lang w:eastAsia="zh-CN"/>
        </w:rPr>
        <w:t>二</w:t>
      </w:r>
      <w:r>
        <w:rPr>
          <w:rFonts w:hint="eastAsia" w:ascii="宋体" w:hAnsi="宋体"/>
          <w:b/>
          <w:bCs/>
          <w:sz w:val="24"/>
          <w:highlight w:val="none"/>
        </w:rPr>
        <w:t>条</w:t>
      </w:r>
      <w:r>
        <w:rPr>
          <w:rFonts w:hint="eastAsia" w:ascii="宋体" w:hAnsi="宋体"/>
          <w:sz w:val="24"/>
          <w:highlight w:val="none"/>
        </w:rPr>
        <w:t xml:space="preserve">  本合同</w:t>
      </w:r>
      <w:r>
        <w:rPr>
          <w:rFonts w:hint="eastAsia" w:ascii="宋体" w:hAnsi="宋体"/>
          <w:sz w:val="24"/>
          <w:highlight w:val="none"/>
          <w:u w:val="single"/>
          <w:lang w:val="en-US" w:eastAsia="zh-CN"/>
        </w:rPr>
        <w:t xml:space="preserve">    </w:t>
      </w:r>
      <w:r>
        <w:rPr>
          <w:rFonts w:hint="eastAsia" w:ascii="宋体" w:hAnsi="宋体"/>
          <w:sz w:val="24"/>
          <w:highlight w:val="none"/>
        </w:rPr>
        <w:t>页，</w:t>
      </w:r>
      <w:r>
        <w:rPr>
          <w:rFonts w:hint="eastAsia" w:ascii="宋体" w:hAnsi="宋体"/>
          <w:sz w:val="24"/>
          <w:highlight w:val="none"/>
          <w:lang w:eastAsia="zh-CN"/>
        </w:rPr>
        <w:t>壹</w:t>
      </w:r>
      <w:r>
        <w:rPr>
          <w:rFonts w:hint="eastAsia" w:ascii="宋体" w:hAnsi="宋体"/>
          <w:sz w:val="24"/>
          <w:highlight w:val="none"/>
        </w:rPr>
        <w:t>式陆份，甲方贰份，乙方贰份，报辖区物业科壹份，报辖区街道壹份，具有同等法律效力。</w:t>
      </w:r>
    </w:p>
    <w:p>
      <w:pPr>
        <w:adjustRightInd w:val="0"/>
        <w:snapToGrid w:val="0"/>
        <w:spacing w:line="360" w:lineRule="auto"/>
        <w:ind w:firstLine="482" w:firstLineChars="200"/>
        <w:rPr>
          <w:rFonts w:ascii="宋体" w:hAnsi="宋体"/>
          <w:sz w:val="24"/>
          <w:highlight w:val="none"/>
        </w:rPr>
      </w:pPr>
      <w:r>
        <w:rPr>
          <w:rFonts w:hint="eastAsia" w:ascii="宋体" w:hAnsi="宋体"/>
          <w:b/>
          <w:bCs/>
          <w:sz w:val="24"/>
          <w:highlight w:val="none"/>
        </w:rPr>
        <w:t>第四十</w:t>
      </w:r>
      <w:r>
        <w:rPr>
          <w:rFonts w:hint="eastAsia" w:ascii="宋体" w:hAnsi="宋体"/>
          <w:b/>
          <w:bCs/>
          <w:sz w:val="24"/>
          <w:highlight w:val="none"/>
          <w:lang w:eastAsia="zh-CN"/>
        </w:rPr>
        <w:t>三</w:t>
      </w:r>
      <w:r>
        <w:rPr>
          <w:rFonts w:hint="eastAsia" w:ascii="宋体" w:hAnsi="宋体"/>
          <w:b/>
          <w:bCs/>
          <w:sz w:val="24"/>
          <w:highlight w:val="none"/>
        </w:rPr>
        <w:t>条</w:t>
      </w:r>
      <w:r>
        <w:rPr>
          <w:rFonts w:hint="eastAsia" w:ascii="宋体" w:hAnsi="宋体"/>
          <w:sz w:val="24"/>
          <w:highlight w:val="none"/>
        </w:rPr>
        <w:t xml:space="preserve">  本合同自甲乙双方盖章并经授权代表签字之日起生效。</w:t>
      </w:r>
    </w:p>
    <w:p>
      <w:pPr>
        <w:adjustRightInd w:val="0"/>
        <w:snapToGrid w:val="0"/>
        <w:spacing w:line="360" w:lineRule="auto"/>
        <w:ind w:left="0" w:firstLine="0"/>
        <w:rPr>
          <w:rFonts w:hint="eastAsia" w:ascii="宋体" w:hAnsi="宋体"/>
          <w:sz w:val="24"/>
          <w:highlight w:val="none"/>
        </w:rPr>
      </w:pPr>
    </w:p>
    <w:p>
      <w:pPr>
        <w:adjustRightInd w:val="0"/>
        <w:snapToGrid w:val="0"/>
        <w:spacing w:line="360" w:lineRule="auto"/>
        <w:ind w:left="0" w:firstLine="0"/>
        <w:rPr>
          <w:rFonts w:hint="eastAsia" w:ascii="宋体" w:hAnsi="宋体"/>
          <w:sz w:val="24"/>
          <w:highlight w:val="none"/>
        </w:rPr>
      </w:pPr>
    </w:p>
    <w:p>
      <w:pPr>
        <w:adjustRightInd w:val="0"/>
        <w:snapToGrid w:val="0"/>
        <w:spacing w:line="360" w:lineRule="auto"/>
        <w:ind w:left="0" w:firstLine="0"/>
        <w:rPr>
          <w:rFonts w:ascii="宋体" w:hAnsi="宋体"/>
          <w:sz w:val="24"/>
          <w:highlight w:val="none"/>
        </w:rPr>
      </w:pPr>
      <w:r>
        <w:rPr>
          <w:rFonts w:hint="eastAsia" w:ascii="宋体" w:hAnsi="宋体"/>
          <w:sz w:val="24"/>
          <w:highlight w:val="none"/>
        </w:rPr>
        <w:t xml:space="preserve">甲方：        （盖章）             </w:t>
      </w:r>
      <w:r>
        <w:rPr>
          <w:rFonts w:hint="eastAsia" w:ascii="宋体" w:hAnsi="宋体"/>
          <w:sz w:val="24"/>
          <w:highlight w:val="none"/>
          <w:lang w:val="en-US" w:eastAsia="zh-CN"/>
        </w:rPr>
        <w:t xml:space="preserve">        </w:t>
      </w:r>
      <w:r>
        <w:rPr>
          <w:rFonts w:hint="eastAsia" w:ascii="宋体" w:hAnsi="宋体"/>
          <w:sz w:val="24"/>
          <w:highlight w:val="none"/>
        </w:rPr>
        <w:t xml:space="preserve">乙方：       （盖章） </w:t>
      </w:r>
    </w:p>
    <w:p>
      <w:pPr>
        <w:adjustRightInd w:val="0"/>
        <w:snapToGrid w:val="0"/>
        <w:spacing w:line="360" w:lineRule="auto"/>
        <w:ind w:left="4703" w:leftChars="266" w:hanging="4144" w:hangingChars="1727"/>
        <w:rPr>
          <w:rFonts w:ascii="宋体" w:hAnsi="宋体"/>
          <w:sz w:val="24"/>
          <w:highlight w:val="none"/>
        </w:rPr>
      </w:pPr>
    </w:p>
    <w:p>
      <w:pPr>
        <w:adjustRightInd w:val="0"/>
        <w:snapToGrid w:val="0"/>
        <w:spacing w:line="360" w:lineRule="auto"/>
        <w:ind w:left="0" w:leftChars="0" w:firstLine="0" w:firstLineChars="0"/>
        <w:rPr>
          <w:rFonts w:hint="eastAsia" w:ascii="宋体" w:hAnsi="宋体"/>
          <w:sz w:val="24"/>
          <w:highlight w:val="none"/>
        </w:rPr>
      </w:pPr>
    </w:p>
    <w:p>
      <w:pPr>
        <w:adjustRightInd w:val="0"/>
        <w:snapToGrid w:val="0"/>
        <w:spacing w:line="360" w:lineRule="auto"/>
        <w:ind w:left="0" w:leftChars="0" w:firstLine="0" w:firstLineChars="0"/>
        <w:rPr>
          <w:rFonts w:ascii="宋体" w:hAnsi="宋体"/>
          <w:sz w:val="24"/>
          <w:highlight w:val="none"/>
          <w:u w:val="single"/>
        </w:rPr>
      </w:pPr>
      <w:r>
        <w:rPr>
          <w:rFonts w:hint="eastAsia" w:ascii="宋体" w:hAnsi="宋体"/>
          <w:sz w:val="24"/>
          <w:highlight w:val="none"/>
          <w:lang w:eastAsia="zh-CN"/>
        </w:rPr>
        <w:t>法定代表人</w:t>
      </w:r>
      <w:r>
        <w:rPr>
          <w:rFonts w:hint="eastAsia" w:ascii="宋体" w:hAnsi="宋体"/>
          <w:sz w:val="24"/>
          <w:highlight w:val="none"/>
        </w:rPr>
        <w:t>（授权代表）</w:t>
      </w:r>
      <w:r>
        <w:rPr>
          <w:rFonts w:hint="eastAsia" w:ascii="宋体" w:hAnsi="宋体"/>
          <w:sz w:val="24"/>
          <w:highlight w:val="none"/>
          <w:lang w:eastAsia="zh-CN"/>
        </w:rPr>
        <w:t>签章</w:t>
      </w: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w:t>
      </w:r>
      <w:r>
        <w:rPr>
          <w:rFonts w:hint="eastAsia" w:ascii="宋体" w:hAnsi="宋体"/>
          <w:sz w:val="24"/>
          <w:highlight w:val="none"/>
        </w:rPr>
        <w:t>（授权代表）</w:t>
      </w:r>
      <w:r>
        <w:rPr>
          <w:rFonts w:hint="eastAsia" w:ascii="宋体" w:hAnsi="宋体"/>
          <w:sz w:val="24"/>
          <w:highlight w:val="none"/>
          <w:lang w:eastAsia="zh-CN"/>
        </w:rPr>
        <w:t>签章</w:t>
      </w:r>
      <w:r>
        <w:rPr>
          <w:rFonts w:hint="eastAsia" w:ascii="宋体" w:hAnsi="宋体"/>
          <w:sz w:val="24"/>
          <w:highlight w:val="none"/>
        </w:rPr>
        <w:t>：</w:t>
      </w:r>
    </w:p>
    <w:p>
      <w:pPr>
        <w:adjustRightInd w:val="0"/>
        <w:snapToGrid w:val="0"/>
        <w:spacing w:line="360" w:lineRule="auto"/>
        <w:ind w:left="0" w:leftChars="0" w:firstLine="0" w:firstLineChars="0"/>
        <w:rPr>
          <w:rFonts w:hint="default" w:ascii="宋体" w:hAnsi="宋体" w:eastAsia="宋体"/>
          <w:sz w:val="24"/>
          <w:highlight w:val="none"/>
          <w:u w:val="single"/>
          <w:lang w:val="en-US" w:eastAsia="zh-CN"/>
        </w:rPr>
      </w:pPr>
    </w:p>
    <w:p>
      <w:pPr>
        <w:adjustRightInd w:val="0"/>
        <w:snapToGrid w:val="0"/>
        <w:spacing w:line="360" w:lineRule="auto"/>
        <w:ind w:firstLine="6384" w:firstLineChars="2660"/>
        <w:rPr>
          <w:rFonts w:ascii="宋体" w:hAnsi="宋体"/>
          <w:sz w:val="24"/>
          <w:highlight w:val="none"/>
        </w:rPr>
      </w:pPr>
      <w:r>
        <w:rPr>
          <w:rFonts w:hint="eastAsia" w:ascii="宋体" w:hAnsi="宋体"/>
          <w:sz w:val="24"/>
          <w:highlight w:val="none"/>
        </w:rPr>
        <w:t xml:space="preserve">  年    月    日</w:t>
      </w:r>
    </w:p>
    <w:p>
      <w:pPr>
        <w:rPr>
          <w:rFonts w:hint="eastAsia" w:ascii="Times New Roman" w:hAnsi="Times New Roman" w:eastAsia="宋体" w:cs="Times New Roman"/>
          <w:color w:val="auto"/>
          <w:sz w:val="28"/>
          <w:lang w:eastAsia="zh-CN"/>
        </w:rPr>
        <w:sectPr>
          <w:footerReference r:id="rId7" w:type="default"/>
          <w:footerReference r:id="rId8" w:type="even"/>
          <w:pgSz w:w="11906" w:h="16838"/>
          <w:pgMar w:top="1440" w:right="1466" w:bottom="1440" w:left="1800" w:header="851" w:footer="992" w:gutter="0"/>
          <w:cols w:space="720" w:num="1"/>
          <w:docGrid w:type="lines" w:linePitch="312" w:charSpace="0"/>
        </w:sectPr>
      </w:pPr>
    </w:p>
    <w:p>
      <w:pPr>
        <w:rPr>
          <w:rFonts w:hint="eastAsia" w:ascii="Times New Roman" w:hAnsi="Times New Roman" w:eastAsia="宋体" w:cs="Times New Roman"/>
          <w:color w:val="FF0000"/>
          <w:sz w:val="28"/>
          <w:lang w:eastAsia="zh-CN"/>
        </w:rPr>
      </w:pPr>
      <w:r>
        <w:rPr>
          <w:rFonts w:hint="eastAsia" w:ascii="Times New Roman" w:hAnsi="Times New Roman" w:eastAsia="宋体" w:cs="Times New Roman"/>
          <w:color w:val="FF0000"/>
          <w:sz w:val="28"/>
          <w:lang w:eastAsia="zh-CN"/>
        </w:rPr>
        <w:t>附件十</w:t>
      </w:r>
      <w:r>
        <w:rPr>
          <w:rFonts w:hint="eastAsia" w:cs="Times New Roman"/>
          <w:color w:val="FF0000"/>
          <w:sz w:val="28"/>
          <w:lang w:val="en-US" w:eastAsia="zh-CN"/>
        </w:rPr>
        <w:t>三</w:t>
      </w:r>
      <w:r>
        <w:rPr>
          <w:rFonts w:hint="eastAsia" w:ascii="Times New Roman" w:hAnsi="Times New Roman" w:eastAsia="宋体" w:cs="Times New Roman"/>
          <w:color w:val="FF0000"/>
          <w:sz w:val="28"/>
          <w:lang w:eastAsia="zh-CN"/>
        </w:rPr>
        <w:t>：</w:t>
      </w:r>
    </w:p>
    <w:tbl>
      <w:tblPr>
        <w:tblStyle w:val="14"/>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600"/>
        <w:gridCol w:w="765"/>
        <w:gridCol w:w="1226"/>
        <w:gridCol w:w="7441"/>
        <w:gridCol w:w="1395"/>
        <w:gridCol w:w="1380"/>
        <w:gridCol w:w="1080"/>
      </w:tblGrid>
      <w:tr>
        <w:tblPrEx>
          <w:tblLayout w:type="fixed"/>
        </w:tblPrEx>
        <w:trPr>
          <w:trHeight w:val="270" w:hRule="atLeast"/>
        </w:trPr>
        <w:tc>
          <w:tcPr>
            <w:tcW w:w="14742" w:type="dxa"/>
            <w:gridSpan w:val="8"/>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《住宅物业套餐式服务评分标准》</w:t>
            </w:r>
            <w:r>
              <w:rPr>
                <w:rFonts w:hint="eastAsia" w:ascii="宋体" w:hAnsi="宋体" w:eastAsia="宋体" w:cs="宋体"/>
                <w:b/>
                <w:bCs/>
                <w:i w:val="0"/>
                <w:iCs w:val="0"/>
                <w:color w:val="FF0000"/>
                <w:kern w:val="0"/>
                <w:sz w:val="22"/>
                <w:szCs w:val="22"/>
                <w:u w:val="none"/>
                <w:lang w:val="en-US" w:eastAsia="zh-CN" w:bidi="ar"/>
              </w:rPr>
              <w:t>物业管理的考核要求表（一）</w:t>
            </w:r>
          </w:p>
        </w:tc>
      </w:tr>
      <w:tr>
        <w:tblPrEx>
          <w:tblLayout w:type="fixed"/>
        </w:tblPrEx>
        <w:trPr>
          <w:trHeight w:val="270" w:hRule="atLeast"/>
        </w:trPr>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Style w:val="15"/>
                <w:color w:val="FF0000"/>
                <w:lang w:val="en-US" w:eastAsia="zh-CN" w:bidi="ar"/>
              </w:rPr>
              <w:t>内 容</w:t>
            </w:r>
          </w:p>
        </w:tc>
        <w:tc>
          <w:tcPr>
            <w:tcW w:w="86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Style w:val="15"/>
                <w:color w:val="FF0000"/>
                <w:lang w:val="en-US" w:eastAsia="zh-CN" w:bidi="ar"/>
              </w:rPr>
              <w:t>目   标   要   求</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基本分</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考核分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备注</w:t>
            </w:r>
          </w:p>
        </w:tc>
      </w:tr>
      <w:tr>
        <w:tblPrEx>
          <w:tblLayout w:type="fixed"/>
        </w:tblPrEx>
        <w:trPr>
          <w:trHeight w:val="270" w:hRule="atLeast"/>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设备设施</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电</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梯</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制</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度</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建</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设</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1、电梯安全管理制度；</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2、电梯安全操作规程；</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3、电梯保养制度；</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4、电梯故障申报修理程序；</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5、电梯使用注意事项；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6、岗位责任制，分工明确；</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7、事故处理程序；</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8、电梯紧急救援预案；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工</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作</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计</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划</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记</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录</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1、年度检查、维护计划；</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2、月度工作计划；</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3、故障及处理的全过程记录；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4、人员变更记录；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5、检修记录；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6、备件、物料、工具的管理记录；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7、工作情况月报表；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8、学习、培训记录；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工</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作</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质</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量</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1、机房上锁，通道无阻；内部整洁，物品摆放有序；无漏水、漏油现象；照明、通风良好；专用工具齐全；应急照明正常、消防器材齐全；机房不作他用；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2、轿厢整洁无损；照明及应急照明正常；指示、警铃、通讯设施正常；风扇正常；按纽、开关正常灵活；</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3、层门、厅门清洁无变形；按纽灵活批示正常；开门灵活无碰撞声音；</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4、底坑干净、无积水、照明正常；</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5、电梯运行时各部分无异常声音；舒适感强；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6、故障处理及时有效；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7、设备标识齐全、清晰、显眼；</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其</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它</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1、岗位责任人持证率达100%；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2、制度明确、齐全的年度工作目标；</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给水系统设备设施维运</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给水</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1、市政给水系统：按规定进行抄表，定期检查生活水泵运行、保养，定期检查高层水箱水位控制系统是否正常，管网系统是否漏水；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2、热水系统：热水设备是否定期检查、保养，管网系统是否漏水；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3、直饮水：机房设备是否卫生可靠，是否定时检查记录，是否按年计划进行保养（例定期清洗或更换过滤器），定期对末端设备的保养与卫生保养；</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排水</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1、排污系统：定期对各排污口进行检查，定期检查各排污隐井水位标高；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2、雨水系统：定期对各屋面雨水入口进行检查、清理入水口周围异物，定期检查各雨水隐井水位标高。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消防</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1、喷淋系统：定期检查与保养喷淋系统设备是否正常，按消防规定进行末端放水测试，以检测系统联动的可靠性。</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2、消防栓系统：定期检查与保养消防栓系统设备是否正常，按消防规定进行运行测试，以检测系统联动的可靠性。</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管理方面</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1、制定各种操作规程、使用管理制度、岗位责任制、安全责任制及应急预案的实施情况，制度上墙、落实到人；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2、根据卫生安全要求，相关人员需要持证上岗；</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3、按照工作需要人员定岗</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4、机房管理是否做到整洁有序，不得有它物占用，各种设备责任到人，设备的运行状态挂牌明示。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弱电</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1、完备的年度工作计划和工和目标；</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2、管理人员和专业技术人员设置到位、分工明确，员工工作规范，作风严谨，操作者应经培训合格，持证上岗</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Style w:val="15"/>
                <w:color w:val="FF0000"/>
                <w:lang w:val="en-US" w:eastAsia="zh-CN" w:bidi="ar"/>
              </w:rPr>
              <w:t xml:space="preserve">3、建立24小时值班制度，设立服务电话，对各类报修、求助、建议、问询、质疑、投诉等各类信息进行收集和反馈，并及时处理，有记录，定期研究总结 </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4、制订各类设备安全运行、操作、巡查、维护保养、检修规程并严格执行</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5、对设备进行经常性维护、保养，并定期检测、调整，维护、保养和检测有记录，记录真实、准确、完整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6、设备台帐、卡、设备档案（包括各类图纸、图表、软件等）及各类记录齐全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7、现场标志完好，各种图表齐全正确，机房布置合理、整洁有序</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8、各系统运行正常，满足使用要求，工艺、编程合理，使设备经济有效运行，达到节能目的；操作正确，故障处理准确、及时并有记录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9、重视清洁、保养、检查和调整工作，设备及机房环境整洁，无杂物，灰尘、无鼠、虫害发生，机房环境符合设备要求</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10、编制备品备件计划、系统检测计划和设备更新计划并实施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11、制定事故应急处理方案并有演练</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12、对合理的建议及时整改，满意率达95％以上，有合理化建议并实施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13、 发生设备事故，应当认真分析原因，确定事故性质与类别，确定责任者，并做出妥善处理和完善防范措施。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电气强电</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基础管理</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规程：应具备并执行的规程，电业安全规程，电气设备现场一、二次运行规程和典型操作票，电气设备预防性试验规程，变压器运行规程，电气事故调查规程，电气事故处理规程，典型操作票正确完整，已在实际中使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2、相关制度齐全（岗位责任制度，交接班制度，巡回检查制度，设备定期试验和缺陷管理制度，现场培训制度）执行情况良好；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3、图表齐全（高、低压模拟图，开关跳闸次数图，巡视路线图，继电保护及整定值配置表，熔丝配置表，设备定级表，高低压模拟图），并与现场运行相符；</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108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记录：十种记录簿完备，值班（交接班）记录，运行记录，操作票和工作票记录，检修、试验记录，设备缺陷记录，开关、保护动作记录，避雷器动作记录，电池测量记录，安全活动和培训记录，安全工器具试验和消防设备检查记录，不漏记、不撕页、字迹清楚；</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5、技术资料：竣工图保存完整并与实际相符，设备台账齐全，各类电试报告齐全，负荷记录齐全，设备改造及大、小修竣工有记录，设备事故、障碍及运行分析有专题报告；</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6、建立8小时值班制度，设立服务电话，接受用户报修、求助、建议、问询、质疑、投诉等各类信息的收集和反馈，并及时处理，有回访制度和记录；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0.75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7、定期向用户发放物业管理服务工作征求意见单，对合理的建议及时整改，满意率达70%以上；</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8、建立并落实维修服务承诺制，零修急修及时率达100%、返修率不高于1%，并有回访记录；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安全运行</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1、设备良好，运行正常；</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2、保证正常供电，限电、停电、临时用电管理规定完善，并按规定执行；</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3、制订停电应急处理措施并严格执行；</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4、备用应急发电机可随时起用；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5、电气设备标牌、标识正确、齐全、清晰，遮栏及各种标志符合要求；</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6、线路、设备巡视项目全面；</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7、工作照明和事故照明处于完好状态；</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8、安全工具齐全，按期试验合格；</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9、消防器材放置合理，定期检查有记录；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10、防小动物有措施，电缆沟定期检查、盖板齐全、不积水、室内无食物剩渣并常设灭鼠器具和药物、户内外场地整洁、环境美；</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11、双电源联锁可靠使用正常；</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12、防雷接地设施符合要求；</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13、合理安排负荷，电容器投切合理节约用电；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设备维护</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1、制订年度工作目标、电气设备维保计划及实施方案；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2、制订设备安全运行、岗位责任制、定期巡回检查、维护保养、运行记录管理、维修档案等管理制度及内容，并严格执行；</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3、设备及机房环境整洁，无杂物，灰尘、无鼠、虫害发生，机房环境符合设备要求；</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4、配备所需专业技术人员，持证上岗、严格执行操作规程；</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5、设备运行正常、无淘汰设备、无三类设备，修试不超周期、项目齐全、合格；</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6、保护和自动装置投切符合要求，开关接触良好、状态与模拟图一致；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7、各类表计指示及计量正确；</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8、接地装置完整可靠，符合规定；</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9、熔丝配置得当，有备品；</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10、每年一次开关保护传动试验有记录；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11、设备挂牌有主人，管理落实到人；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12、一、二次设备保持清洁，定期清扫，每年不少于2次，有记录；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13、设备按季定级，完好率达90%，其中一类设备达80%以上；</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14、直流操作电源维护好，电池测量有记录；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0.5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人员配置及技术培训</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1、岗位设备合理，人员配备齐全，责任明确，管理人员和专业技术（值班、维修、操作）人员持证上岗，员工统一着装，佩戴明显标志，工作规范，作风严谨；</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2、值班台上应有：值班人员及相关人员的名单，主要设备技术参数及其他必要数据，通讯设备良好；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3、技术培训：《安规》及其他有关规程考试，每年不少于一次、有试卷，业务技术考试每年不少于一次，有试卷；反事故及应急预案演习每年不少于一次，有试卷；安全活动每月不少于一次，有记录；</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室内外公共照明</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1、室外、道路、楼道、厅堂、卫生间等公共照明完好；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2、根据时间、地点、气候等因素变化制定各种公共部位照明方案，及时调整、严格执行，节约用电；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3、督促用户随手关灯，杜绝浪费；</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卫生保洁</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Style w:val="15"/>
                <w:color w:val="FF0000"/>
                <w:lang w:val="en-US" w:eastAsia="zh-CN" w:bidi="ar"/>
              </w:rPr>
              <w:t>总         体         外         围</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Style w:val="15"/>
                <w:color w:val="FF0000"/>
                <w:lang w:val="en-US" w:eastAsia="zh-CN" w:bidi="ar"/>
              </w:rPr>
              <w:t>1、地面   清扫、收集垃圾、水力冲洗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2、标志牌清洁</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3、明沟清扫、收集垃圾、刷洗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4、室内公共区域玻璃洗刷</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5、室外垃圾箱外抹内洗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Style w:val="15"/>
                <w:color w:val="FF0000"/>
                <w:lang w:val="en-US" w:eastAsia="zh-CN" w:bidi="ar"/>
              </w:rPr>
              <w:t>公          共         区         域</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1、地面清洁、定期做晶面</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2、墙身（2米以下）清洁、除尘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3、大理墙面（2米以下）清洁、除尘、抛光</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4、灯箱、灯具清洁、除尘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5、墙脚线清洁、除尘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6、风口清洁、抹尘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7、烟灰缸清除烟蒂和保洁</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8、废物箱清除垃圾、外表抹净</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9、门框除尘（木质上碧丽珠）、铜把手</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10、地毯、踏垫除尘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11、抛光砖地面推尘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12、标识牌（各类）抹尘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13、务类消防设施抹尘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14、大玻璃窗内清洗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Style w:val="15"/>
                <w:color w:val="FF0000"/>
                <w:lang w:val="en-US" w:eastAsia="zh-CN" w:bidi="ar"/>
              </w:rPr>
              <w:t>15、室内植物植物叶、花盆抹尘、四季及时定期更换</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电梯</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1、地毯清洗、除尘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2、墙面清洁</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3、门（内、外）抹净（上保护剂）、镜面清洁、定期上光亮剂</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4、门槽清除垃圾、杂物</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5、指示牌和按钮清洁、除尘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6、灯片和风口清洁、除尘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7、轿厢铝合金（上保护剂）、镜面清洁</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公共通道</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1、大理石清洁、清洗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2、电梯厅地坪清洁、清洗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消防楼梯</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1、楼级和平台清扫垃圾、清洗</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2、墙面大理石（除尘、抹净）涂料（除尘）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3、灯具除尘</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4、扶手、栏杆除尘、抹净</w:t>
            </w:r>
          </w:p>
        </w:tc>
        <w:tc>
          <w:tcPr>
            <w:tcW w:w="139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保安</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人</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员</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配</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备及基本要求</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1、人员编制满员；</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2、人员配置岗位合理（根据特长安排）；</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3、消控中心含1人；派驻监控中心的人员经审查后上岗，并能够熟悉掌握操作规程，及时排除故障；</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4、上岗证配备达到100%，整个队伍保持稳定，人员流动率小于20%/年；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5、所有人员进出有备案；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6、聘用的工作人员符合劳动部门有关用工规定，并在岗位时佩带双证件上岗；</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7、管理人员明确分工负责；</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制</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度</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建</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设</w:t>
            </w:r>
          </w:p>
        </w:tc>
        <w:tc>
          <w:tcPr>
            <w:tcW w:w="7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1、消控保安、消防安全管理、巡逻保安、门卫管理等制度建设情况；</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FF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FF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FF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312"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FF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2、人员定岗制度建设及备案情况；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3、岗位职责是否明确并附书面备案；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4、所有保安人员守则制度、人员纪律建设、保安员权限制度、保安员保密原则等制度建设是否完善；</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5、保安员的交接班制度、考勤制度、公共管理巡逻制度是否建立，实行记录情况；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6、监控室制度、电视监控系统的维护方案等建设情况；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管</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理</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质</w:t>
            </w:r>
            <w:r>
              <w:rPr>
                <w:rFonts w:hint="eastAsia" w:ascii="宋体" w:hAnsi="宋体" w:eastAsia="宋体" w:cs="宋体"/>
                <w:i w:val="0"/>
                <w:iCs w:val="0"/>
                <w:color w:val="FF0000"/>
                <w:kern w:val="0"/>
                <w:sz w:val="22"/>
                <w:szCs w:val="22"/>
                <w:u w:val="none"/>
                <w:lang w:val="en-US" w:eastAsia="zh-CN" w:bidi="ar"/>
              </w:rPr>
              <w:br w:type="textWrapping"/>
            </w:r>
            <w:r>
              <w:rPr>
                <w:rFonts w:hint="eastAsia" w:ascii="宋体" w:hAnsi="宋体" w:eastAsia="宋体" w:cs="宋体"/>
                <w:i w:val="0"/>
                <w:iCs w:val="0"/>
                <w:color w:val="FF0000"/>
                <w:kern w:val="0"/>
                <w:sz w:val="22"/>
                <w:szCs w:val="22"/>
                <w:u w:val="none"/>
                <w:lang w:val="en-US" w:eastAsia="zh-CN" w:bidi="ar"/>
              </w:rPr>
              <w:t>量</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1、在承包区域的各项服务，其工作时间满足行政管理中心的要求，包括公众假期，做到无论有什么理由，都不可以停止服务；是否做到全天二十四小时服务；</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2、工作人员上岗穿着统一的制服及许可的装饰物品；</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3、在承包的区域经营范围内，不准利用权力做不允许经营的情况；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4、在承包期内保证区域内的设施、设备良好的运营状况和环境状况及后勤中心提供设备、设施、工具的完好性（正常折旧除外）；</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5、在承包区域内因作业所需增加机械、电力设备及设施经征得同意，并进行记录备案；</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工作人员不准向行政大楼内相关人员索取小费或物品等；在承包区域住宿不准从事非法活动；不准安装任何可能造成电缆负载过大的电器设备；未获书面同意，不准在承包区域存放易燃物品或气味浓烈的液体等；</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7、对发现问题没有及时处理或没有及时上报情况；</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407"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8、遇突发事件或安全检查时，有配合有关部门执行任务，并指定专职人员协助工作，直至完成好任务；</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9、对上级（户主）交办的临时性任务，及时完成；</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10、管理层是否以身作则，管理人员对队员的工作是否经常性认真检查和指导，在遵守保安制度外并能否遵守市行政中心的有关规定；</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日常服务情况</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1、保证业主单位的工作生活秩序正常；</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2、安全保卫工作有序；</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3、监控工作到位；</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4、消防处理是否及时；</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5、维持停车库（场）秩序（含大门口路段停车场）；</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w:t>
            </w:r>
          </w:p>
        </w:tc>
        <w:tc>
          <w:tcPr>
            <w:tcW w:w="136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绿化</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浇灌与排水</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1、浇水均匀无遗漏全覆盖。土壤湿度保持在植物正常需水状态，不出现缺水原因导致的明显干旱、枯萎、绿地开裂等现象；</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2、据天气、植物、区域地势、土壤情况合理安排浇灌，秋冬季干旱须浇透浇足。</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3、暴雨后1天内积水应及时排涝；</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4、采用节水浇灌措施提高浇水效率，节约用水。</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修剪整形</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1、草地视品种不同合理安排修剪，每年修剪不少于4次，草地平整无斑秃，草高不超过6厘米</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2、灌木夏秋季每月至少修剪一次，全年不少于4次，形状丰满美观。</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3、影响通行或存安全隐患的乔木及时修剪，生长正常。</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安全及其它</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1、乔木无明显枯枝坠落、倒伏、枯朽折断风险；</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2、主要乔木悬挂树牌，标明：树名、别名、科属、生长习性等</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3、抗风性差和栽植3年内的乔木有必要的支撑防护措施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施肥</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1、合理施肥，无肥害</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70"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2、乔灌草整体年度普施肥不少于一次。</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85"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除杂草</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及时处理杂草，目视绿地内杂草不超过5%。</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85"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补植</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及时补植，目视无明显缺株，黄土裸露。</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r>
        <w:tblPrEx>
          <w:tblLayout w:type="fixed"/>
        </w:tblPrEx>
        <w:trPr>
          <w:trHeight w:val="285" w:hRule="atLeast"/>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FF0000"/>
                <w:sz w:val="24"/>
                <w:szCs w:val="24"/>
                <w:u w:val="none"/>
                <w:lang w:val="en-US" w:eastAsia="zh-CN"/>
              </w:rPr>
            </w:pPr>
            <w:r>
              <w:rPr>
                <w:rFonts w:hint="eastAsia" w:ascii="宋体" w:hAnsi="宋体" w:cs="宋体"/>
                <w:i w:val="0"/>
                <w:iCs w:val="0"/>
                <w:color w:val="FF0000"/>
                <w:sz w:val="24"/>
                <w:szCs w:val="24"/>
                <w:u w:val="none"/>
                <w:lang w:val="en-US" w:eastAsia="zh-CN"/>
              </w:rPr>
              <w:t>花坛花镜</w:t>
            </w:r>
          </w:p>
        </w:tc>
        <w:tc>
          <w:tcPr>
            <w:tcW w:w="7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春节有专项花卉布置营造节日气氛。</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FF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0" w:lineRule="atLeast"/>
        <w:textAlignment w:val="auto"/>
        <w:rPr>
          <w:rFonts w:hint="eastAsia" w:ascii="宋体" w:hAnsi="宋体" w:cs="仿宋_GB2312"/>
          <w:b/>
          <w:color w:val="C00000"/>
          <w:sz w:val="30"/>
          <w:szCs w:val="30"/>
        </w:rPr>
        <w:sectPr>
          <w:footerReference r:id="rId12" w:type="first"/>
          <w:headerReference r:id="rId9" w:type="default"/>
          <w:footerReference r:id="rId10" w:type="default"/>
          <w:footerReference r:id="rId11" w:type="even"/>
          <w:pgSz w:w="16838" w:h="11906" w:orient="landscape"/>
          <w:pgMar w:top="1758" w:right="1440" w:bottom="1758" w:left="1440" w:header="851" w:footer="992" w:gutter="0"/>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atLeast"/>
        <w:textAlignment w:val="auto"/>
        <w:rPr>
          <w:rFonts w:hint="default"/>
          <w:lang w:val="en-US" w:eastAsia="zh-CN"/>
        </w:rPr>
      </w:pPr>
    </w:p>
    <w:sectPr>
      <w:footerReference r:id="rId13" w:type="default"/>
      <w:footerReference r:id="rId14" w:type="even"/>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00000000" w:usb1="00000000"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4</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3"/>
      </w:rPr>
    </w:pPr>
    <w:r>
      <w:fldChar w:fldCharType="begin"/>
    </w:r>
    <w:r>
      <w:rPr>
        <w:rStyle w:val="13"/>
      </w:rPr>
      <w:instrText xml:space="preserve">PAGE  </w:instrText>
    </w:r>
    <w:r>
      <w:fldChar w:fldCharType="separate"/>
    </w:r>
    <w:r>
      <w:rPr>
        <w:rStyle w:val="13"/>
      </w:rPr>
      <w:t>5</w:t>
    </w:r>
    <w:r>
      <w:fldChar w:fldCharType="end"/>
    </w:r>
  </w:p>
  <w:p>
    <w:pPr>
      <w:pStyle w:val="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1D89E"/>
    <w:multiLevelType w:val="singleLevel"/>
    <w:tmpl w:val="ED41D89E"/>
    <w:lvl w:ilvl="0" w:tentative="0">
      <w:start w:val="3"/>
      <w:numFmt w:val="decimal"/>
      <w:suff w:val="nothing"/>
      <w:lvlText w:val="%1、"/>
      <w:lvlJc w:val="left"/>
    </w:lvl>
  </w:abstractNum>
  <w:abstractNum w:abstractNumId="1">
    <w:nsid w:val="13920F11"/>
    <w:multiLevelType w:val="multilevel"/>
    <w:tmpl w:val="13920F11"/>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52FCD101"/>
    <w:multiLevelType w:val="singleLevel"/>
    <w:tmpl w:val="52FCD101"/>
    <w:lvl w:ilvl="0" w:tentative="0">
      <w:start w:val="2"/>
      <w:numFmt w:val="chineseCounting"/>
      <w:suff w:val="nothing"/>
      <w:lvlText w:val="（%1）"/>
      <w:lvlJc w:val="left"/>
      <w:rPr>
        <w:rFonts w:hint="eastAsia"/>
      </w:rPr>
    </w:lvl>
  </w:abstractNum>
  <w:abstractNum w:abstractNumId="3">
    <w:nsid w:val="5C002E51"/>
    <w:multiLevelType w:val="multilevel"/>
    <w:tmpl w:val="5C002E51"/>
    <w:lvl w:ilvl="0" w:tentative="0">
      <w:start w:val="1"/>
      <w:numFmt w:val="japaneseCounting"/>
      <w:lvlText w:val="第%1章"/>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0"/>
    <w:pPr>
      <w:ind w:firstLine="420" w:firstLineChars="100"/>
    </w:pPr>
    <w:rPr>
      <w:rFonts w:ascii="Times New Roman" w:hAnsi="Times New Roman"/>
    </w:rPr>
  </w:style>
  <w:style w:type="paragraph" w:styleId="3">
    <w:name w:val="Body Text"/>
    <w:basedOn w:val="1"/>
    <w:next w:val="2"/>
    <w:unhideWhenUsed/>
    <w:qFormat/>
    <w:uiPriority w:val="0"/>
    <w:pPr>
      <w:spacing w:after="120" w:afterLines="0"/>
    </w:pPr>
    <w:rPr>
      <w:rFonts w:ascii="Tahoma" w:hAnsi="Tahoma"/>
    </w:rPr>
  </w:style>
  <w:style w:type="paragraph" w:styleId="6">
    <w:name w:val="Normal Indent"/>
    <w:basedOn w:val="1"/>
    <w:qFormat/>
    <w:uiPriority w:val="0"/>
    <w:pPr>
      <w:adjustRightInd w:val="0"/>
      <w:spacing w:line="312" w:lineRule="atLeast"/>
      <w:ind w:firstLine="420"/>
      <w:textAlignment w:val="baseline"/>
    </w:pPr>
    <w:rPr>
      <w:rFonts w:eastAsia="仿宋_GB2312"/>
      <w:kern w:val="0"/>
      <w:szCs w:val="20"/>
    </w:rPr>
  </w:style>
  <w:style w:type="paragraph" w:styleId="7">
    <w:name w:val="Body Text Indent"/>
    <w:basedOn w:val="1"/>
    <w:qFormat/>
    <w:uiPriority w:val="0"/>
    <w:pPr>
      <w:spacing w:line="460" w:lineRule="exact"/>
      <w:ind w:firstLine="540"/>
    </w:pPr>
    <w:rPr>
      <w:rFonts w:ascii="Times New Roman" w:hAnsi="Times New Roman" w:cs="Times New Roman"/>
      <w:kern w:val="2"/>
      <w:sz w:val="28"/>
    </w:rPr>
  </w:style>
  <w:style w:type="paragraph" w:styleId="8">
    <w:name w:val="Body Text Indent 2"/>
    <w:basedOn w:val="1"/>
    <w:semiHidden/>
    <w:qFormat/>
    <w:uiPriority w:val="0"/>
    <w:pPr>
      <w:ind w:firstLine="560" w:firstLineChars="200"/>
    </w:pPr>
    <w:rPr>
      <w:sz w:val="28"/>
    </w:rPr>
  </w:style>
  <w:style w:type="paragraph" w:styleId="9">
    <w:name w:val="footer"/>
    <w:basedOn w:val="1"/>
    <w:semiHidden/>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1">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character" w:styleId="13">
    <w:name w:val="page number"/>
    <w:basedOn w:val="12"/>
    <w:semiHidden/>
    <w:qFormat/>
    <w:uiPriority w:val="0"/>
  </w:style>
  <w:style w:type="character" w:customStyle="1" w:styleId="15">
    <w:name w:val="font01"/>
    <w:basedOn w:val="12"/>
    <w:qFormat/>
    <w:uiPriority w:val="0"/>
    <w:rPr>
      <w:rFonts w:hint="eastAsia" w:ascii="宋体" w:hAnsi="宋体" w:eastAsia="宋体" w:cs="宋体"/>
      <w:color w:val="000000"/>
      <w:sz w:val="18"/>
      <w:szCs w:val="18"/>
      <w:u w:val="none"/>
    </w:rPr>
  </w:style>
  <w:style w:type="character" w:customStyle="1" w:styleId="16">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24949</Words>
  <Characters>25524</Characters>
  <Lines>0</Lines>
  <Paragraphs>0</Paragraphs>
  <TotalTime>0</TotalTime>
  <ScaleCrop>false</ScaleCrop>
  <LinksUpToDate>false</LinksUpToDate>
  <CharactersWithSpaces>29911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2023-05-22T10:25:00Z</dcterms:created>
  <dc:creator>葉夏思冬</dc:creator>
  <cp:lastModifiedBy>iPhone</cp:lastModifiedBy>
  <dcterms:modified xsi:type="dcterms:W3CDTF">2024-10-15T10:03:08Z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2052-12.17.1</vt:lpwstr>
  </property>
  <property fmtid="{D5CDD505-2E9C-101B-9397-08002B2CF9AE}" pid="3" name="ICV">
    <vt:lpwstr>DF7D8DEB08AF44FAA6F26E02A24F5CEF_13</vt:lpwstr>
  </property>
</Properties>
</file>